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BE4DE" w14:textId="77777777" w:rsidR="0031507A" w:rsidRDefault="0031507A" w:rsidP="0031507A">
      <w:pPr>
        <w:pStyle w:val="ListParagraph"/>
        <w:rPr>
          <w:rFonts w:ascii="Arial" w:hAnsi="Arial" w:cs="Arial"/>
          <w:sz w:val="32"/>
          <w:szCs w:val="32"/>
          <w:u w:val="single"/>
        </w:rPr>
      </w:pPr>
    </w:p>
    <w:p w14:paraId="0A85DE6A" w14:textId="77777777" w:rsidR="003F0B4B" w:rsidRPr="00DA46AA" w:rsidRDefault="003F0B4B" w:rsidP="003F0B4B">
      <w:pPr>
        <w:adjustRightInd w:val="0"/>
        <w:jc w:val="center"/>
        <w:outlineLvl w:val="0"/>
        <w:rPr>
          <w:b/>
          <w:bCs/>
          <w:sz w:val="20"/>
          <w:szCs w:val="20"/>
          <w:lang w:eastAsia="en-GB"/>
        </w:rPr>
      </w:pPr>
      <w:bookmarkStart w:id="0" w:name="_Toc13828353"/>
      <w:r w:rsidRPr="00385905">
        <w:rPr>
          <w:b/>
          <w:bCs/>
          <w:sz w:val="32"/>
          <w:szCs w:val="32"/>
          <w:lang w:eastAsia="en-GB"/>
        </w:rPr>
        <w:t>PCIG Consulting Template</w:t>
      </w:r>
      <w:bookmarkEnd w:id="0"/>
    </w:p>
    <w:p w14:paraId="4CB2449A" w14:textId="77777777" w:rsidR="003F0B4B" w:rsidRPr="00385905" w:rsidRDefault="003F0B4B" w:rsidP="003F0B4B">
      <w:pPr>
        <w:jc w:val="center"/>
        <w:rPr>
          <w:b/>
          <w:bCs/>
          <w:sz w:val="32"/>
          <w:szCs w:val="32"/>
          <w:lang w:eastAsia="en-GB"/>
        </w:rPr>
      </w:pPr>
    </w:p>
    <w:p w14:paraId="6DFE9558" w14:textId="19B77D1A" w:rsidR="003F0B4B" w:rsidRDefault="003F0B4B" w:rsidP="003F0B4B">
      <w:pPr>
        <w:spacing w:before="88"/>
        <w:ind w:left="219"/>
        <w:jc w:val="center"/>
        <w:rPr>
          <w:b/>
          <w:sz w:val="36"/>
        </w:rPr>
      </w:pPr>
      <w:r>
        <w:rPr>
          <w:b/>
          <w:sz w:val="36"/>
        </w:rPr>
        <w:t>Staff Confidentiality Guidance</w:t>
      </w:r>
    </w:p>
    <w:p w14:paraId="5E5F14E7" w14:textId="77777777" w:rsidR="003F0B4B" w:rsidRDefault="003F0B4B" w:rsidP="003F0B4B">
      <w:pPr>
        <w:rPr>
          <w:b/>
          <w:bCs/>
          <w:sz w:val="20"/>
          <w:szCs w:val="20"/>
          <w:lang w:eastAsia="en-GB"/>
        </w:rPr>
      </w:pPr>
    </w:p>
    <w:p w14:paraId="00B1BA43" w14:textId="7E4ADAC2" w:rsidR="003F0B4B" w:rsidRDefault="003F0B4B" w:rsidP="003F0B4B">
      <w:pPr>
        <w:rPr>
          <w:b/>
          <w:bCs/>
          <w:sz w:val="20"/>
          <w:szCs w:val="20"/>
          <w:lang w:eastAsia="en-GB"/>
        </w:rPr>
      </w:pPr>
      <w:r>
        <w:rPr>
          <w:b/>
          <w:bCs/>
          <w:sz w:val="20"/>
          <w:szCs w:val="20"/>
          <w:lang w:eastAsia="en-GB"/>
        </w:rPr>
        <w:t>Version:</w:t>
      </w:r>
      <w:r>
        <w:rPr>
          <w:b/>
          <w:bCs/>
          <w:sz w:val="20"/>
          <w:szCs w:val="20"/>
          <w:lang w:eastAsia="en-GB"/>
        </w:rPr>
        <w:tab/>
      </w:r>
      <w:r w:rsidR="00BD4EB2">
        <w:rPr>
          <w:b/>
          <w:bCs/>
          <w:sz w:val="20"/>
          <w:szCs w:val="20"/>
          <w:lang w:eastAsia="en-GB"/>
        </w:rPr>
        <w:t>5</w:t>
      </w:r>
      <w:r w:rsidR="009B3D60">
        <w:rPr>
          <w:b/>
          <w:bCs/>
          <w:sz w:val="20"/>
          <w:szCs w:val="20"/>
          <w:lang w:eastAsia="en-GB"/>
        </w:rPr>
        <w:t>.0</w:t>
      </w:r>
    </w:p>
    <w:p w14:paraId="3D4355BC" w14:textId="583E6499" w:rsidR="003F0B4B" w:rsidRDefault="003F0B4B" w:rsidP="003F0B4B">
      <w:pPr>
        <w:rPr>
          <w:b/>
          <w:bCs/>
          <w:sz w:val="20"/>
          <w:szCs w:val="20"/>
          <w:lang w:eastAsia="en-GB"/>
        </w:rPr>
      </w:pPr>
      <w:r>
        <w:rPr>
          <w:b/>
          <w:bCs/>
          <w:sz w:val="20"/>
          <w:szCs w:val="20"/>
          <w:lang w:eastAsia="en-GB"/>
        </w:rPr>
        <w:t>Date:</w:t>
      </w:r>
      <w:r w:rsidR="00C1597A">
        <w:rPr>
          <w:b/>
          <w:bCs/>
          <w:sz w:val="20"/>
          <w:szCs w:val="20"/>
          <w:lang w:eastAsia="en-GB"/>
        </w:rPr>
        <w:t xml:space="preserve"> </w:t>
      </w:r>
      <w:r w:rsidR="00BD4EB2">
        <w:rPr>
          <w:b/>
          <w:bCs/>
          <w:sz w:val="20"/>
          <w:szCs w:val="20"/>
          <w:lang w:eastAsia="en-GB"/>
        </w:rPr>
        <w:t>11 December 2023</w:t>
      </w:r>
    </w:p>
    <w:p w14:paraId="5B3CEC61" w14:textId="77777777" w:rsidR="003F0B4B" w:rsidRDefault="003F0B4B" w:rsidP="003F0B4B">
      <w:pPr>
        <w:rPr>
          <w:b/>
          <w:bCs/>
          <w:sz w:val="20"/>
          <w:szCs w:val="20"/>
          <w:lang w:eastAsia="en-GB"/>
        </w:rPr>
      </w:pPr>
    </w:p>
    <w:p w14:paraId="4B453DCC" w14:textId="77777777" w:rsidR="003F0B4B" w:rsidRDefault="003F0B4B" w:rsidP="003F0B4B">
      <w:pPr>
        <w:rPr>
          <w:b/>
          <w:bCs/>
          <w:sz w:val="20"/>
          <w:szCs w:val="20"/>
          <w:lang w:eastAsia="en-GB"/>
        </w:rPr>
      </w:pPr>
    </w:p>
    <w:p w14:paraId="3A609EEA" w14:textId="77777777" w:rsidR="003F0B4B" w:rsidRDefault="003F0B4B" w:rsidP="003F0B4B">
      <w:pPr>
        <w:rPr>
          <w:b/>
          <w:bCs/>
          <w:sz w:val="20"/>
          <w:szCs w:val="20"/>
          <w:lang w:eastAsia="en-GB"/>
        </w:rPr>
      </w:pPr>
    </w:p>
    <w:p w14:paraId="27BD4EC0" w14:textId="628FA3E5" w:rsidR="003F0B4B" w:rsidRDefault="003F0B4B" w:rsidP="003F0B4B">
      <w:pPr>
        <w:rPr>
          <w:b/>
          <w:bCs/>
          <w:sz w:val="20"/>
          <w:szCs w:val="20"/>
          <w:lang w:eastAsia="en-GB"/>
        </w:rPr>
      </w:pPr>
      <w:r>
        <w:rPr>
          <w:b/>
          <w:bCs/>
          <w:sz w:val="20"/>
          <w:szCs w:val="20"/>
          <w:lang w:eastAsia="en-GB"/>
        </w:rPr>
        <w:t xml:space="preserve">This template is for use by </w:t>
      </w:r>
      <w:r w:rsidR="00DD074A">
        <w:rPr>
          <w:b/>
          <w:bCs/>
          <w:sz w:val="20"/>
          <w:szCs w:val="20"/>
          <w:lang w:eastAsia="en-GB"/>
        </w:rPr>
        <w:t>[Fed Name]</w:t>
      </w:r>
      <w:r w:rsidR="00BD4EB2">
        <w:rPr>
          <w:b/>
          <w:bCs/>
          <w:sz w:val="20"/>
          <w:szCs w:val="20"/>
          <w:lang w:eastAsia="en-GB"/>
        </w:rPr>
        <w:t xml:space="preserve"> </w:t>
      </w:r>
      <w:r>
        <w:rPr>
          <w:b/>
          <w:bCs/>
          <w:sz w:val="20"/>
          <w:szCs w:val="20"/>
          <w:lang w:eastAsia="en-GB"/>
        </w:rPr>
        <w:t xml:space="preserve">to Comply with the </w:t>
      </w:r>
      <w:r w:rsidR="00031A33">
        <w:rPr>
          <w:b/>
          <w:bCs/>
          <w:sz w:val="20"/>
          <w:szCs w:val="20"/>
          <w:lang w:eastAsia="en-GB"/>
        </w:rPr>
        <w:t xml:space="preserve">UK </w:t>
      </w:r>
      <w:r>
        <w:rPr>
          <w:b/>
          <w:bCs/>
          <w:sz w:val="20"/>
          <w:szCs w:val="20"/>
          <w:lang w:eastAsia="en-GB"/>
        </w:rPr>
        <w:t xml:space="preserve">GDPR requirement to have a policy regarding </w:t>
      </w:r>
      <w:r w:rsidR="00BD4EB2">
        <w:rPr>
          <w:b/>
          <w:bCs/>
          <w:sz w:val="20"/>
          <w:szCs w:val="20"/>
          <w:lang w:eastAsia="en-GB"/>
        </w:rPr>
        <w:t xml:space="preserve">the </w:t>
      </w:r>
      <w:r>
        <w:rPr>
          <w:b/>
          <w:bCs/>
          <w:sz w:val="20"/>
          <w:szCs w:val="20"/>
          <w:lang w:eastAsia="en-GB"/>
        </w:rPr>
        <w:t xml:space="preserve">processing of </w:t>
      </w:r>
      <w:r w:rsidR="00BD4EB2">
        <w:rPr>
          <w:b/>
          <w:bCs/>
          <w:sz w:val="20"/>
          <w:szCs w:val="20"/>
          <w:lang w:eastAsia="en-GB"/>
        </w:rPr>
        <w:t xml:space="preserve">personal identifiable and commercial </w:t>
      </w:r>
      <w:r>
        <w:rPr>
          <w:b/>
          <w:bCs/>
          <w:sz w:val="20"/>
          <w:szCs w:val="20"/>
          <w:lang w:eastAsia="en-GB"/>
        </w:rPr>
        <w:t xml:space="preserve">data.  </w:t>
      </w:r>
    </w:p>
    <w:p w14:paraId="2482EA21" w14:textId="77777777" w:rsidR="003F0B4B" w:rsidRDefault="003F0B4B" w:rsidP="003F0B4B">
      <w:pPr>
        <w:rPr>
          <w:b/>
          <w:bCs/>
          <w:sz w:val="20"/>
          <w:szCs w:val="20"/>
          <w:lang w:eastAsia="en-GB"/>
        </w:rPr>
      </w:pPr>
    </w:p>
    <w:p w14:paraId="4D5CA750" w14:textId="77777777" w:rsidR="003F0B4B" w:rsidRDefault="003F0B4B" w:rsidP="003F0B4B">
      <w:pPr>
        <w:rPr>
          <w:b/>
          <w:bCs/>
          <w:sz w:val="20"/>
          <w:szCs w:val="20"/>
          <w:lang w:eastAsia="en-GB"/>
        </w:rPr>
      </w:pPr>
      <w:r>
        <w:rPr>
          <w:b/>
          <w:bCs/>
          <w:sz w:val="20"/>
          <w:szCs w:val="20"/>
          <w:lang w:eastAsia="en-GB"/>
        </w:rPr>
        <w:t>Change Control</w:t>
      </w:r>
    </w:p>
    <w:p w14:paraId="768B9228" w14:textId="77777777" w:rsidR="003F0B4B" w:rsidRDefault="003F0B4B" w:rsidP="003F0B4B">
      <w:pPr>
        <w:rPr>
          <w:b/>
          <w:bCs/>
          <w:sz w:val="20"/>
          <w:szCs w:val="20"/>
          <w:lang w:eastAsia="en-GB"/>
        </w:rPr>
      </w:pPr>
    </w:p>
    <w:tbl>
      <w:tblPr>
        <w:tblStyle w:val="TableGrid"/>
        <w:tblW w:w="0" w:type="auto"/>
        <w:tblLook w:val="04A0" w:firstRow="1" w:lastRow="0" w:firstColumn="1" w:lastColumn="0" w:noHBand="0" w:noVBand="1"/>
      </w:tblPr>
      <w:tblGrid>
        <w:gridCol w:w="1009"/>
        <w:gridCol w:w="666"/>
        <w:gridCol w:w="3693"/>
        <w:gridCol w:w="3172"/>
      </w:tblGrid>
      <w:tr w:rsidR="003F0B4B" w14:paraId="63E5E2C2" w14:textId="77777777" w:rsidTr="00247334">
        <w:tc>
          <w:tcPr>
            <w:tcW w:w="1009" w:type="dxa"/>
          </w:tcPr>
          <w:p w14:paraId="63731086" w14:textId="77777777" w:rsidR="003F0B4B" w:rsidRDefault="003F0B4B" w:rsidP="00247334">
            <w:pPr>
              <w:rPr>
                <w:b/>
                <w:bCs/>
                <w:sz w:val="20"/>
                <w:szCs w:val="20"/>
                <w:lang w:eastAsia="en-GB"/>
              </w:rPr>
            </w:pPr>
            <w:r>
              <w:rPr>
                <w:b/>
                <w:bCs/>
                <w:sz w:val="20"/>
                <w:szCs w:val="20"/>
                <w:lang w:eastAsia="en-GB"/>
              </w:rPr>
              <w:t>Version</w:t>
            </w:r>
          </w:p>
        </w:tc>
        <w:tc>
          <w:tcPr>
            <w:tcW w:w="666" w:type="dxa"/>
          </w:tcPr>
          <w:p w14:paraId="504DD898" w14:textId="77777777" w:rsidR="003F0B4B" w:rsidRDefault="003F0B4B" w:rsidP="00247334">
            <w:pPr>
              <w:rPr>
                <w:b/>
                <w:bCs/>
                <w:sz w:val="20"/>
                <w:szCs w:val="20"/>
                <w:lang w:eastAsia="en-GB"/>
              </w:rPr>
            </w:pPr>
            <w:r>
              <w:rPr>
                <w:b/>
                <w:bCs/>
                <w:sz w:val="20"/>
                <w:szCs w:val="20"/>
                <w:lang w:eastAsia="en-GB"/>
              </w:rPr>
              <w:t>To</w:t>
            </w:r>
          </w:p>
        </w:tc>
        <w:tc>
          <w:tcPr>
            <w:tcW w:w="3693" w:type="dxa"/>
          </w:tcPr>
          <w:p w14:paraId="557B18FB" w14:textId="77777777" w:rsidR="003F0B4B" w:rsidRDefault="003F0B4B" w:rsidP="00247334">
            <w:pPr>
              <w:rPr>
                <w:b/>
                <w:bCs/>
                <w:sz w:val="20"/>
                <w:szCs w:val="20"/>
                <w:lang w:eastAsia="en-GB"/>
              </w:rPr>
            </w:pPr>
            <w:r>
              <w:rPr>
                <w:b/>
                <w:bCs/>
                <w:sz w:val="20"/>
                <w:szCs w:val="20"/>
                <w:lang w:eastAsia="en-GB"/>
              </w:rPr>
              <w:t>Change</w:t>
            </w:r>
          </w:p>
        </w:tc>
        <w:tc>
          <w:tcPr>
            <w:tcW w:w="3172" w:type="dxa"/>
          </w:tcPr>
          <w:p w14:paraId="6E7A463F" w14:textId="77777777" w:rsidR="003F0B4B" w:rsidRDefault="003F0B4B" w:rsidP="00247334">
            <w:pPr>
              <w:rPr>
                <w:b/>
                <w:bCs/>
                <w:sz w:val="20"/>
                <w:szCs w:val="20"/>
                <w:lang w:eastAsia="en-GB"/>
              </w:rPr>
            </w:pPr>
            <w:r>
              <w:rPr>
                <w:b/>
                <w:bCs/>
                <w:sz w:val="20"/>
                <w:szCs w:val="20"/>
                <w:lang w:eastAsia="en-GB"/>
              </w:rPr>
              <w:t>Date</w:t>
            </w:r>
          </w:p>
        </w:tc>
      </w:tr>
      <w:tr w:rsidR="003F0B4B" w14:paraId="7D380FA8" w14:textId="77777777" w:rsidTr="00247334">
        <w:tc>
          <w:tcPr>
            <w:tcW w:w="1009" w:type="dxa"/>
          </w:tcPr>
          <w:p w14:paraId="053920B2" w14:textId="7E466D1B" w:rsidR="003F0B4B" w:rsidRDefault="00031A33" w:rsidP="00247334">
            <w:pPr>
              <w:rPr>
                <w:b/>
                <w:bCs/>
                <w:sz w:val="20"/>
                <w:szCs w:val="20"/>
                <w:lang w:eastAsia="en-GB"/>
              </w:rPr>
            </w:pPr>
            <w:r>
              <w:rPr>
                <w:b/>
                <w:bCs/>
                <w:sz w:val="20"/>
                <w:szCs w:val="20"/>
                <w:lang w:eastAsia="en-GB"/>
              </w:rPr>
              <w:t>1</w:t>
            </w:r>
          </w:p>
        </w:tc>
        <w:tc>
          <w:tcPr>
            <w:tcW w:w="666" w:type="dxa"/>
          </w:tcPr>
          <w:p w14:paraId="7BA7F592" w14:textId="6ED49AD1" w:rsidR="003F0B4B" w:rsidRDefault="00031A33" w:rsidP="00247334">
            <w:pPr>
              <w:rPr>
                <w:b/>
                <w:bCs/>
                <w:sz w:val="20"/>
                <w:szCs w:val="20"/>
                <w:lang w:eastAsia="en-GB"/>
              </w:rPr>
            </w:pPr>
            <w:r>
              <w:rPr>
                <w:b/>
                <w:bCs/>
                <w:sz w:val="20"/>
                <w:szCs w:val="20"/>
                <w:lang w:eastAsia="en-GB"/>
              </w:rPr>
              <w:t>2</w:t>
            </w:r>
          </w:p>
        </w:tc>
        <w:tc>
          <w:tcPr>
            <w:tcW w:w="3693" w:type="dxa"/>
          </w:tcPr>
          <w:p w14:paraId="7584E8FB" w14:textId="234F9789" w:rsidR="003F0B4B" w:rsidRDefault="00031A33" w:rsidP="00247334">
            <w:pPr>
              <w:rPr>
                <w:b/>
                <w:bCs/>
                <w:sz w:val="20"/>
                <w:szCs w:val="20"/>
                <w:lang w:eastAsia="en-GB"/>
              </w:rPr>
            </w:pPr>
            <w:r>
              <w:rPr>
                <w:b/>
                <w:bCs/>
                <w:sz w:val="20"/>
                <w:szCs w:val="20"/>
                <w:lang w:eastAsia="en-GB"/>
              </w:rPr>
              <w:t>Reviewed and updated by DPO</w:t>
            </w:r>
          </w:p>
        </w:tc>
        <w:tc>
          <w:tcPr>
            <w:tcW w:w="3172" w:type="dxa"/>
          </w:tcPr>
          <w:p w14:paraId="06EAEAA2" w14:textId="444B597C" w:rsidR="003F0B4B" w:rsidRDefault="009B3D60" w:rsidP="00247334">
            <w:pPr>
              <w:rPr>
                <w:b/>
                <w:bCs/>
                <w:sz w:val="20"/>
                <w:szCs w:val="20"/>
                <w:lang w:eastAsia="en-GB"/>
              </w:rPr>
            </w:pPr>
            <w:r>
              <w:rPr>
                <w:b/>
                <w:bCs/>
                <w:sz w:val="20"/>
                <w:szCs w:val="20"/>
                <w:lang w:eastAsia="en-GB"/>
              </w:rPr>
              <w:t>May 2021</w:t>
            </w:r>
          </w:p>
        </w:tc>
      </w:tr>
      <w:tr w:rsidR="003F0B4B" w14:paraId="33A5ACA2" w14:textId="77777777" w:rsidTr="00247334">
        <w:tc>
          <w:tcPr>
            <w:tcW w:w="1009" w:type="dxa"/>
          </w:tcPr>
          <w:p w14:paraId="6ABD92D2" w14:textId="0A721200" w:rsidR="003F0B4B" w:rsidRDefault="009B3D60" w:rsidP="00247334">
            <w:pPr>
              <w:rPr>
                <w:b/>
                <w:bCs/>
                <w:sz w:val="20"/>
                <w:szCs w:val="20"/>
                <w:lang w:eastAsia="en-GB"/>
              </w:rPr>
            </w:pPr>
            <w:r>
              <w:rPr>
                <w:b/>
                <w:bCs/>
                <w:sz w:val="20"/>
                <w:szCs w:val="20"/>
                <w:lang w:eastAsia="en-GB"/>
              </w:rPr>
              <w:t>2</w:t>
            </w:r>
          </w:p>
        </w:tc>
        <w:tc>
          <w:tcPr>
            <w:tcW w:w="666" w:type="dxa"/>
          </w:tcPr>
          <w:p w14:paraId="05B6669F" w14:textId="55293994" w:rsidR="003F0B4B" w:rsidRDefault="009B3D60" w:rsidP="00247334">
            <w:pPr>
              <w:rPr>
                <w:b/>
                <w:bCs/>
                <w:sz w:val="20"/>
                <w:szCs w:val="20"/>
                <w:lang w:eastAsia="en-GB"/>
              </w:rPr>
            </w:pPr>
            <w:r>
              <w:rPr>
                <w:b/>
                <w:bCs/>
                <w:sz w:val="20"/>
                <w:szCs w:val="20"/>
                <w:lang w:eastAsia="en-GB"/>
              </w:rPr>
              <w:t>3</w:t>
            </w:r>
          </w:p>
        </w:tc>
        <w:tc>
          <w:tcPr>
            <w:tcW w:w="3693" w:type="dxa"/>
          </w:tcPr>
          <w:p w14:paraId="418B9D8E" w14:textId="26FB0100" w:rsidR="003F0B4B" w:rsidRDefault="009B3D60" w:rsidP="00247334">
            <w:pPr>
              <w:rPr>
                <w:b/>
                <w:bCs/>
                <w:sz w:val="20"/>
                <w:szCs w:val="20"/>
                <w:lang w:eastAsia="en-GB"/>
              </w:rPr>
            </w:pPr>
            <w:r>
              <w:rPr>
                <w:b/>
                <w:bCs/>
                <w:sz w:val="20"/>
                <w:szCs w:val="20"/>
                <w:lang w:eastAsia="en-GB"/>
              </w:rPr>
              <w:t>Reviewed and updated</w:t>
            </w:r>
          </w:p>
        </w:tc>
        <w:tc>
          <w:tcPr>
            <w:tcW w:w="3172" w:type="dxa"/>
          </w:tcPr>
          <w:p w14:paraId="2428287B" w14:textId="376B1FBB" w:rsidR="003F0B4B" w:rsidRDefault="009B3D60" w:rsidP="00247334">
            <w:pPr>
              <w:rPr>
                <w:b/>
                <w:bCs/>
                <w:sz w:val="20"/>
                <w:szCs w:val="20"/>
                <w:lang w:eastAsia="en-GB"/>
              </w:rPr>
            </w:pPr>
            <w:r>
              <w:rPr>
                <w:b/>
                <w:bCs/>
                <w:sz w:val="20"/>
                <w:szCs w:val="20"/>
                <w:lang w:eastAsia="en-GB"/>
              </w:rPr>
              <w:t>19 January 2022</w:t>
            </w:r>
          </w:p>
        </w:tc>
      </w:tr>
      <w:tr w:rsidR="00D56D0B" w14:paraId="529907E1" w14:textId="77777777" w:rsidTr="00247334">
        <w:tc>
          <w:tcPr>
            <w:tcW w:w="1009" w:type="dxa"/>
          </w:tcPr>
          <w:p w14:paraId="7683F1A7" w14:textId="53D023D8" w:rsidR="00D56D0B" w:rsidRDefault="00D56D0B" w:rsidP="00247334">
            <w:pPr>
              <w:rPr>
                <w:b/>
                <w:bCs/>
                <w:sz w:val="20"/>
                <w:szCs w:val="20"/>
                <w:lang w:eastAsia="en-GB"/>
              </w:rPr>
            </w:pPr>
            <w:r>
              <w:rPr>
                <w:b/>
                <w:bCs/>
                <w:sz w:val="20"/>
                <w:szCs w:val="20"/>
                <w:lang w:eastAsia="en-GB"/>
              </w:rPr>
              <w:t>3</w:t>
            </w:r>
          </w:p>
        </w:tc>
        <w:tc>
          <w:tcPr>
            <w:tcW w:w="666" w:type="dxa"/>
          </w:tcPr>
          <w:p w14:paraId="3EDA8CE7" w14:textId="72FBFEE4" w:rsidR="00D56D0B" w:rsidRDefault="00D56D0B" w:rsidP="00247334">
            <w:pPr>
              <w:rPr>
                <w:b/>
                <w:bCs/>
                <w:sz w:val="20"/>
                <w:szCs w:val="20"/>
                <w:lang w:eastAsia="en-GB"/>
              </w:rPr>
            </w:pPr>
            <w:r>
              <w:rPr>
                <w:b/>
                <w:bCs/>
                <w:sz w:val="20"/>
                <w:szCs w:val="20"/>
                <w:lang w:eastAsia="en-GB"/>
              </w:rPr>
              <w:t>4</w:t>
            </w:r>
          </w:p>
        </w:tc>
        <w:tc>
          <w:tcPr>
            <w:tcW w:w="3693" w:type="dxa"/>
          </w:tcPr>
          <w:p w14:paraId="615C4FDC" w14:textId="21075FE5" w:rsidR="00D56D0B" w:rsidRDefault="00D56D0B" w:rsidP="00247334">
            <w:pPr>
              <w:rPr>
                <w:b/>
                <w:bCs/>
                <w:sz w:val="20"/>
                <w:szCs w:val="20"/>
                <w:lang w:eastAsia="en-GB"/>
              </w:rPr>
            </w:pPr>
            <w:r>
              <w:rPr>
                <w:b/>
                <w:bCs/>
                <w:sz w:val="20"/>
                <w:szCs w:val="20"/>
                <w:lang w:eastAsia="en-GB"/>
              </w:rPr>
              <w:t>Reviewed</w:t>
            </w:r>
          </w:p>
        </w:tc>
        <w:tc>
          <w:tcPr>
            <w:tcW w:w="3172" w:type="dxa"/>
          </w:tcPr>
          <w:p w14:paraId="2D7091E0" w14:textId="25A80068" w:rsidR="00D56D0B" w:rsidRDefault="00D56D0B" w:rsidP="00247334">
            <w:pPr>
              <w:rPr>
                <w:b/>
                <w:bCs/>
                <w:sz w:val="20"/>
                <w:szCs w:val="20"/>
                <w:lang w:eastAsia="en-GB"/>
              </w:rPr>
            </w:pPr>
            <w:r>
              <w:rPr>
                <w:b/>
                <w:bCs/>
                <w:sz w:val="20"/>
                <w:szCs w:val="20"/>
                <w:lang w:eastAsia="en-GB"/>
              </w:rPr>
              <w:t>4 January 2023</w:t>
            </w:r>
          </w:p>
        </w:tc>
      </w:tr>
      <w:tr w:rsidR="00BD4EB2" w14:paraId="124C2235" w14:textId="77777777" w:rsidTr="00247334">
        <w:tc>
          <w:tcPr>
            <w:tcW w:w="1009" w:type="dxa"/>
          </w:tcPr>
          <w:p w14:paraId="4758DE11" w14:textId="0DC90301" w:rsidR="00BD4EB2" w:rsidRDefault="00BD4EB2" w:rsidP="00247334">
            <w:pPr>
              <w:rPr>
                <w:b/>
                <w:bCs/>
                <w:sz w:val="20"/>
                <w:szCs w:val="20"/>
                <w:lang w:eastAsia="en-GB"/>
              </w:rPr>
            </w:pPr>
            <w:r>
              <w:rPr>
                <w:b/>
                <w:bCs/>
                <w:sz w:val="20"/>
                <w:szCs w:val="20"/>
                <w:lang w:eastAsia="en-GB"/>
              </w:rPr>
              <w:t>4</w:t>
            </w:r>
          </w:p>
        </w:tc>
        <w:tc>
          <w:tcPr>
            <w:tcW w:w="666" w:type="dxa"/>
          </w:tcPr>
          <w:p w14:paraId="374C09FE" w14:textId="7384F63B" w:rsidR="00BD4EB2" w:rsidRDefault="00BD4EB2" w:rsidP="00247334">
            <w:pPr>
              <w:rPr>
                <w:b/>
                <w:bCs/>
                <w:sz w:val="20"/>
                <w:szCs w:val="20"/>
                <w:lang w:eastAsia="en-GB"/>
              </w:rPr>
            </w:pPr>
            <w:r>
              <w:rPr>
                <w:b/>
                <w:bCs/>
                <w:sz w:val="20"/>
                <w:szCs w:val="20"/>
                <w:lang w:eastAsia="en-GB"/>
              </w:rPr>
              <w:t>5</w:t>
            </w:r>
          </w:p>
        </w:tc>
        <w:tc>
          <w:tcPr>
            <w:tcW w:w="3693" w:type="dxa"/>
          </w:tcPr>
          <w:p w14:paraId="7B282A9D" w14:textId="5B0E508C" w:rsidR="00BD4EB2" w:rsidRDefault="00BD4EB2" w:rsidP="00247334">
            <w:pPr>
              <w:rPr>
                <w:b/>
                <w:bCs/>
                <w:sz w:val="20"/>
                <w:szCs w:val="20"/>
                <w:lang w:eastAsia="en-GB"/>
              </w:rPr>
            </w:pPr>
            <w:r>
              <w:rPr>
                <w:b/>
                <w:bCs/>
                <w:sz w:val="20"/>
                <w:szCs w:val="20"/>
                <w:lang w:eastAsia="en-GB"/>
              </w:rPr>
              <w:t xml:space="preserve">Review </w:t>
            </w:r>
            <w:r w:rsidR="00DD074A">
              <w:rPr>
                <w:b/>
                <w:bCs/>
                <w:sz w:val="20"/>
                <w:szCs w:val="20"/>
                <w:lang w:eastAsia="en-GB"/>
              </w:rPr>
              <w:t>ed</w:t>
            </w:r>
            <w:r>
              <w:rPr>
                <w:b/>
                <w:bCs/>
                <w:sz w:val="20"/>
                <w:szCs w:val="20"/>
                <w:lang w:eastAsia="en-GB"/>
              </w:rPr>
              <w:t xml:space="preserve"> </w:t>
            </w:r>
          </w:p>
        </w:tc>
        <w:tc>
          <w:tcPr>
            <w:tcW w:w="3172" w:type="dxa"/>
          </w:tcPr>
          <w:p w14:paraId="4EF7C4F7" w14:textId="2AF13583" w:rsidR="00BD4EB2" w:rsidRDefault="00BD4EB2" w:rsidP="00247334">
            <w:pPr>
              <w:rPr>
                <w:b/>
                <w:bCs/>
                <w:sz w:val="20"/>
                <w:szCs w:val="20"/>
                <w:lang w:eastAsia="en-GB"/>
              </w:rPr>
            </w:pPr>
            <w:r>
              <w:rPr>
                <w:b/>
                <w:bCs/>
                <w:sz w:val="20"/>
                <w:szCs w:val="20"/>
                <w:lang w:eastAsia="en-GB"/>
              </w:rPr>
              <w:t>11 December 2023</w:t>
            </w:r>
          </w:p>
        </w:tc>
      </w:tr>
    </w:tbl>
    <w:p w14:paraId="75DC944C" w14:textId="77777777" w:rsidR="003F0B4B" w:rsidRDefault="003F0B4B" w:rsidP="003F0B4B">
      <w:pPr>
        <w:rPr>
          <w:b/>
          <w:bCs/>
          <w:sz w:val="20"/>
          <w:szCs w:val="20"/>
          <w:lang w:eastAsia="en-GB"/>
        </w:rPr>
      </w:pPr>
      <w:r>
        <w:rPr>
          <w:b/>
          <w:bCs/>
          <w:sz w:val="20"/>
          <w:szCs w:val="20"/>
          <w:lang w:eastAsia="en-GB"/>
        </w:rPr>
        <w:br w:type="page"/>
      </w:r>
    </w:p>
    <w:p w14:paraId="2A321275" w14:textId="77777777" w:rsidR="003F0B4B" w:rsidRDefault="003F0B4B" w:rsidP="003F0B4B">
      <w:pPr>
        <w:rPr>
          <w:rFonts w:ascii="Times New Roman"/>
          <w:sz w:val="20"/>
          <w:szCs w:val="24"/>
        </w:rPr>
      </w:pPr>
    </w:p>
    <w:p w14:paraId="5DFAED3E" w14:textId="77777777" w:rsidR="003F0B4B" w:rsidRDefault="003F0B4B" w:rsidP="003F0B4B">
      <w:pPr>
        <w:pStyle w:val="BodyText"/>
        <w:rPr>
          <w:rFonts w:ascii="Times New Roman"/>
          <w:sz w:val="20"/>
        </w:rPr>
      </w:pPr>
    </w:p>
    <w:p w14:paraId="7E6C3C16" w14:textId="77777777" w:rsidR="003F0B4B" w:rsidRDefault="003F0B4B" w:rsidP="003F0B4B">
      <w:pPr>
        <w:pStyle w:val="BodyText"/>
        <w:rPr>
          <w:rFonts w:ascii="Times New Roman"/>
          <w:sz w:val="20"/>
        </w:rPr>
      </w:pPr>
    </w:p>
    <w:p w14:paraId="194A0CA9" w14:textId="77777777" w:rsidR="003F0B4B" w:rsidRDefault="003F0B4B" w:rsidP="003F0B4B">
      <w:pPr>
        <w:pStyle w:val="BodyText"/>
        <w:rPr>
          <w:rFonts w:ascii="Times New Roman"/>
          <w:sz w:val="20"/>
        </w:rPr>
      </w:pPr>
    </w:p>
    <w:p w14:paraId="48D45BD4" w14:textId="1EC43172" w:rsidR="003F0B4B" w:rsidRPr="00206E53" w:rsidRDefault="00DD074A" w:rsidP="003F0B4B">
      <w:pPr>
        <w:pStyle w:val="BodyText"/>
        <w:jc w:val="center"/>
        <w:rPr>
          <w:sz w:val="36"/>
          <w:szCs w:val="36"/>
        </w:rPr>
      </w:pPr>
      <w:r>
        <w:rPr>
          <w:sz w:val="36"/>
          <w:szCs w:val="36"/>
        </w:rPr>
        <w:t>[FED Name]</w:t>
      </w:r>
    </w:p>
    <w:p w14:paraId="15D3A2D8" w14:textId="77777777" w:rsidR="003F0B4B" w:rsidRDefault="003F0B4B" w:rsidP="003F0B4B">
      <w:pPr>
        <w:pStyle w:val="BodyText"/>
        <w:rPr>
          <w:rFonts w:ascii="Times New Roman"/>
          <w:sz w:val="20"/>
        </w:rPr>
      </w:pPr>
    </w:p>
    <w:p w14:paraId="731AEF3D" w14:textId="77777777" w:rsidR="003F0B4B" w:rsidRDefault="003F0B4B" w:rsidP="003F0B4B">
      <w:pPr>
        <w:pStyle w:val="BodyText"/>
        <w:rPr>
          <w:rFonts w:ascii="Times New Roman"/>
          <w:sz w:val="20"/>
        </w:rPr>
      </w:pPr>
    </w:p>
    <w:p w14:paraId="6B58EEE5" w14:textId="77777777" w:rsidR="003F0B4B" w:rsidRPr="00370923" w:rsidRDefault="003F0B4B" w:rsidP="003F0B4B">
      <w:pPr>
        <w:pStyle w:val="BodyText"/>
        <w:rPr>
          <w:rFonts w:ascii="Times New Roman"/>
          <w:color w:val="000000" w:themeColor="text1"/>
          <w:sz w:val="20"/>
        </w:rPr>
      </w:pPr>
    </w:p>
    <w:p w14:paraId="07E7FD42" w14:textId="77777777" w:rsidR="003F0B4B" w:rsidRDefault="003F0B4B" w:rsidP="003F0B4B">
      <w:pPr>
        <w:spacing w:before="88"/>
        <w:ind w:left="219"/>
        <w:jc w:val="center"/>
        <w:rPr>
          <w:b/>
          <w:sz w:val="36"/>
        </w:rPr>
      </w:pPr>
      <w:r>
        <w:rPr>
          <w:b/>
          <w:sz w:val="36"/>
        </w:rPr>
        <w:t>Staff Confidentiality Guidance</w:t>
      </w:r>
    </w:p>
    <w:p w14:paraId="4DD1AB38" w14:textId="1BA0EE70" w:rsidR="003F0B4B" w:rsidRPr="00370923" w:rsidRDefault="003F0B4B" w:rsidP="003F0B4B">
      <w:pPr>
        <w:spacing w:after="120"/>
        <w:jc w:val="center"/>
        <w:rPr>
          <w:b/>
          <w:color w:val="000000" w:themeColor="text1"/>
          <w:sz w:val="32"/>
          <w:szCs w:val="40"/>
        </w:rPr>
      </w:pPr>
    </w:p>
    <w:p w14:paraId="7FA27010" w14:textId="77777777" w:rsidR="003F0B4B" w:rsidRPr="00370923" w:rsidRDefault="003F0B4B" w:rsidP="003F0B4B">
      <w:pPr>
        <w:rPr>
          <w:color w:val="000000" w:themeColor="text1"/>
          <w:sz w:val="28"/>
          <w:szCs w:val="28"/>
        </w:rPr>
      </w:pPr>
    </w:p>
    <w:p w14:paraId="15B20529" w14:textId="77777777" w:rsidR="003F0B4B" w:rsidRPr="00370923" w:rsidRDefault="003F0B4B" w:rsidP="003F0B4B">
      <w:pPr>
        <w:rPr>
          <w:b/>
          <w:bCs/>
          <w:color w:val="000000" w:themeColor="text1"/>
        </w:rPr>
      </w:pPr>
      <w:r w:rsidRPr="00370923">
        <w:rPr>
          <w:b/>
          <w:bCs/>
          <w:color w:val="000000" w:themeColor="text1"/>
        </w:rPr>
        <w:t>Document History</w:t>
      </w:r>
    </w:p>
    <w:p w14:paraId="697CA65F" w14:textId="77777777" w:rsidR="003F0B4B" w:rsidRPr="00370923" w:rsidRDefault="003F0B4B" w:rsidP="003F0B4B">
      <w:pPr>
        <w:rPr>
          <w:color w:val="000000" w:themeColor="text1"/>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3F0B4B" w:rsidRPr="00370923" w14:paraId="534F3A6B" w14:textId="77777777" w:rsidTr="00247334">
        <w:trPr>
          <w:trHeight w:val="414"/>
        </w:trPr>
        <w:tc>
          <w:tcPr>
            <w:tcW w:w="2586" w:type="dxa"/>
            <w:vAlign w:val="center"/>
          </w:tcPr>
          <w:p w14:paraId="6E07785B" w14:textId="77777777" w:rsidR="003F0B4B" w:rsidRPr="00370923" w:rsidRDefault="003F0B4B" w:rsidP="00247334">
            <w:pPr>
              <w:rPr>
                <w:rFonts w:cs="Calibri"/>
                <w:color w:val="000000" w:themeColor="text1"/>
              </w:rPr>
            </w:pPr>
            <w:r w:rsidRPr="00370923">
              <w:rPr>
                <w:rFonts w:cs="Calibri"/>
                <w:color w:val="000000" w:themeColor="text1"/>
              </w:rPr>
              <w:t>Document Reference:</w:t>
            </w:r>
          </w:p>
        </w:tc>
        <w:tc>
          <w:tcPr>
            <w:tcW w:w="6770" w:type="dxa"/>
            <w:vAlign w:val="center"/>
          </w:tcPr>
          <w:p w14:paraId="2FA11FD7" w14:textId="77777777" w:rsidR="003F0B4B" w:rsidRPr="00370923" w:rsidRDefault="003F0B4B" w:rsidP="00247334">
            <w:pPr>
              <w:rPr>
                <w:rFonts w:cs="Calibri"/>
                <w:color w:val="000000" w:themeColor="text1"/>
              </w:rPr>
            </w:pPr>
            <w:r w:rsidRPr="00370923">
              <w:rPr>
                <w:rFonts w:cs="Calibri"/>
                <w:color w:val="000000" w:themeColor="text1"/>
              </w:rPr>
              <w:t>…</w:t>
            </w:r>
          </w:p>
        </w:tc>
      </w:tr>
      <w:tr w:rsidR="003F0B4B" w:rsidRPr="00370923" w14:paraId="3D060C8C" w14:textId="77777777" w:rsidTr="00247334">
        <w:trPr>
          <w:trHeight w:val="414"/>
        </w:trPr>
        <w:tc>
          <w:tcPr>
            <w:tcW w:w="2586" w:type="dxa"/>
            <w:vAlign w:val="center"/>
          </w:tcPr>
          <w:p w14:paraId="2181075F" w14:textId="77777777" w:rsidR="003F0B4B" w:rsidRPr="00370923" w:rsidRDefault="003F0B4B" w:rsidP="00247334">
            <w:pPr>
              <w:rPr>
                <w:rFonts w:cs="Calibri"/>
                <w:color w:val="000000" w:themeColor="text1"/>
              </w:rPr>
            </w:pPr>
            <w:r w:rsidRPr="00370923">
              <w:rPr>
                <w:rFonts w:cs="Calibri"/>
                <w:color w:val="000000" w:themeColor="text1"/>
              </w:rPr>
              <w:t>Document Purpose:</w:t>
            </w:r>
          </w:p>
        </w:tc>
        <w:tc>
          <w:tcPr>
            <w:tcW w:w="6770" w:type="dxa"/>
            <w:vAlign w:val="center"/>
          </w:tcPr>
          <w:p w14:paraId="6E047B96" w14:textId="7E95424D" w:rsidR="003F0B4B" w:rsidRPr="00370923" w:rsidRDefault="003F0B4B" w:rsidP="00247334">
            <w:pPr>
              <w:rPr>
                <w:rFonts w:cs="Calibri"/>
                <w:color w:val="000000" w:themeColor="text1"/>
              </w:rPr>
            </w:pPr>
            <w:r w:rsidRPr="00370923">
              <w:rPr>
                <w:rFonts w:cs="Calibri"/>
                <w:color w:val="000000" w:themeColor="text1"/>
              </w:rPr>
              <w:t xml:space="preserve">This </w:t>
            </w:r>
            <w:r>
              <w:rPr>
                <w:rFonts w:cs="Calibri"/>
                <w:color w:val="000000" w:themeColor="text1"/>
              </w:rPr>
              <w:t>guidance</w:t>
            </w:r>
            <w:r w:rsidR="00DB58E9">
              <w:rPr>
                <w:rFonts w:cs="Calibri"/>
                <w:color w:val="000000" w:themeColor="text1"/>
              </w:rPr>
              <w:t xml:space="preserve"> </w:t>
            </w:r>
            <w:r w:rsidRPr="00370923">
              <w:rPr>
                <w:rFonts w:cs="Calibri"/>
                <w:color w:val="000000" w:themeColor="text1"/>
              </w:rPr>
              <w:t xml:space="preserve">sets out the </w:t>
            </w:r>
            <w:r w:rsidR="00DD074A">
              <w:rPr>
                <w:rFonts w:cs="Calibri"/>
                <w:color w:val="000000" w:themeColor="text1"/>
              </w:rPr>
              <w:t>[FED Name]</w:t>
            </w:r>
            <w:r w:rsidR="00BD4EB2">
              <w:rPr>
                <w:rFonts w:cs="Calibri"/>
                <w:color w:val="000000" w:themeColor="text1"/>
              </w:rPr>
              <w:t xml:space="preserve"> </w:t>
            </w:r>
            <w:r>
              <w:rPr>
                <w:rFonts w:cs="Calibri"/>
                <w:color w:val="000000" w:themeColor="text1"/>
              </w:rPr>
              <w:t>guidance to staff about monitoring of work activity and the duties of confidence owed to its data.</w:t>
            </w:r>
          </w:p>
        </w:tc>
      </w:tr>
      <w:tr w:rsidR="003F0B4B" w:rsidRPr="00370923" w14:paraId="672C10FB" w14:textId="77777777" w:rsidTr="00247334">
        <w:trPr>
          <w:trHeight w:val="414"/>
        </w:trPr>
        <w:tc>
          <w:tcPr>
            <w:tcW w:w="2586" w:type="dxa"/>
            <w:vAlign w:val="center"/>
          </w:tcPr>
          <w:p w14:paraId="2C1C35CC" w14:textId="77777777" w:rsidR="003F0B4B" w:rsidRPr="00370923" w:rsidRDefault="003F0B4B" w:rsidP="00247334">
            <w:pPr>
              <w:rPr>
                <w:rFonts w:cs="Calibri"/>
                <w:color w:val="000000" w:themeColor="text1"/>
              </w:rPr>
            </w:pPr>
            <w:r w:rsidRPr="00370923">
              <w:rPr>
                <w:rFonts w:cs="Calibri"/>
                <w:color w:val="000000" w:themeColor="text1"/>
              </w:rPr>
              <w:t>Date Approved:</w:t>
            </w:r>
          </w:p>
        </w:tc>
        <w:tc>
          <w:tcPr>
            <w:tcW w:w="6770" w:type="dxa"/>
            <w:vAlign w:val="center"/>
          </w:tcPr>
          <w:p w14:paraId="51488BE7" w14:textId="5A547BF9" w:rsidR="003F0B4B" w:rsidRPr="00370923" w:rsidRDefault="00D56D0B" w:rsidP="00247334">
            <w:pPr>
              <w:rPr>
                <w:rFonts w:cs="Calibri"/>
                <w:color w:val="000000" w:themeColor="text1"/>
              </w:rPr>
            </w:pPr>
            <w:r>
              <w:rPr>
                <w:rFonts w:cs="Calibri"/>
                <w:color w:val="000000" w:themeColor="text1"/>
              </w:rPr>
              <w:t>4 January 2023</w:t>
            </w:r>
          </w:p>
        </w:tc>
      </w:tr>
      <w:tr w:rsidR="003F0B4B" w:rsidRPr="00370923" w14:paraId="2F0C445C" w14:textId="77777777" w:rsidTr="00247334">
        <w:trPr>
          <w:trHeight w:val="424"/>
        </w:trPr>
        <w:tc>
          <w:tcPr>
            <w:tcW w:w="2586" w:type="dxa"/>
            <w:vAlign w:val="center"/>
          </w:tcPr>
          <w:p w14:paraId="209454E3" w14:textId="77777777" w:rsidR="003F0B4B" w:rsidRPr="00370923" w:rsidRDefault="003F0B4B" w:rsidP="00247334">
            <w:pPr>
              <w:rPr>
                <w:rFonts w:cs="Calibri"/>
                <w:color w:val="000000" w:themeColor="text1"/>
              </w:rPr>
            </w:pPr>
            <w:r w:rsidRPr="00370923">
              <w:rPr>
                <w:rFonts w:cs="Calibri"/>
                <w:color w:val="000000" w:themeColor="text1"/>
              </w:rPr>
              <w:t>Version Number:</w:t>
            </w:r>
          </w:p>
        </w:tc>
        <w:tc>
          <w:tcPr>
            <w:tcW w:w="6770" w:type="dxa"/>
            <w:vAlign w:val="center"/>
          </w:tcPr>
          <w:p w14:paraId="75894AEC" w14:textId="010F8EFF" w:rsidR="003F0B4B" w:rsidRPr="00370923" w:rsidRDefault="00D56D0B" w:rsidP="00247334">
            <w:pPr>
              <w:rPr>
                <w:rFonts w:cs="Calibri"/>
                <w:color w:val="000000" w:themeColor="text1"/>
              </w:rPr>
            </w:pPr>
            <w:r>
              <w:rPr>
                <w:rFonts w:cs="Calibri"/>
                <w:color w:val="000000" w:themeColor="text1"/>
              </w:rPr>
              <w:t>4</w:t>
            </w:r>
          </w:p>
        </w:tc>
      </w:tr>
      <w:tr w:rsidR="003F0B4B" w:rsidRPr="00370923" w14:paraId="65514B08" w14:textId="77777777" w:rsidTr="00247334">
        <w:trPr>
          <w:trHeight w:val="403"/>
        </w:trPr>
        <w:tc>
          <w:tcPr>
            <w:tcW w:w="2586" w:type="dxa"/>
            <w:vAlign w:val="center"/>
          </w:tcPr>
          <w:p w14:paraId="04A74462" w14:textId="77777777" w:rsidR="003F0B4B" w:rsidRPr="00370923" w:rsidRDefault="003F0B4B" w:rsidP="00247334">
            <w:pPr>
              <w:rPr>
                <w:rFonts w:cs="Calibri"/>
                <w:color w:val="000000" w:themeColor="text1"/>
              </w:rPr>
            </w:pPr>
            <w:r w:rsidRPr="00370923">
              <w:rPr>
                <w:rFonts w:cs="Calibri"/>
                <w:color w:val="000000" w:themeColor="text1"/>
              </w:rPr>
              <w:t>Status:</w:t>
            </w:r>
          </w:p>
        </w:tc>
        <w:tc>
          <w:tcPr>
            <w:tcW w:w="6770" w:type="dxa"/>
            <w:vAlign w:val="center"/>
          </w:tcPr>
          <w:p w14:paraId="1FF7179B" w14:textId="77777777" w:rsidR="003F0B4B" w:rsidRPr="00370923" w:rsidRDefault="003F0B4B" w:rsidP="00247334">
            <w:pPr>
              <w:rPr>
                <w:rFonts w:cs="Calibri"/>
                <w:color w:val="000000" w:themeColor="text1"/>
              </w:rPr>
            </w:pPr>
            <w:r>
              <w:rPr>
                <w:rFonts w:cs="Calibri"/>
                <w:color w:val="000000" w:themeColor="text1"/>
              </w:rPr>
              <w:t>FINAL</w:t>
            </w:r>
          </w:p>
        </w:tc>
      </w:tr>
      <w:tr w:rsidR="003F0B4B" w:rsidRPr="00370923" w14:paraId="1E3D15B0" w14:textId="77777777" w:rsidTr="00247334">
        <w:trPr>
          <w:trHeight w:val="423"/>
        </w:trPr>
        <w:tc>
          <w:tcPr>
            <w:tcW w:w="2586" w:type="dxa"/>
            <w:vAlign w:val="center"/>
          </w:tcPr>
          <w:p w14:paraId="7AB854CF" w14:textId="77777777" w:rsidR="003F0B4B" w:rsidRPr="00370923" w:rsidRDefault="003F0B4B" w:rsidP="00247334">
            <w:pPr>
              <w:rPr>
                <w:rFonts w:cs="Calibri"/>
                <w:color w:val="000000" w:themeColor="text1"/>
              </w:rPr>
            </w:pPr>
            <w:r w:rsidRPr="00370923">
              <w:rPr>
                <w:rFonts w:cs="Calibri"/>
                <w:color w:val="000000" w:themeColor="text1"/>
              </w:rPr>
              <w:t>Next Revision Due:</w:t>
            </w:r>
          </w:p>
        </w:tc>
        <w:tc>
          <w:tcPr>
            <w:tcW w:w="6770" w:type="dxa"/>
            <w:vAlign w:val="center"/>
          </w:tcPr>
          <w:p w14:paraId="0C9A806A" w14:textId="5035D4BD" w:rsidR="003F0B4B" w:rsidRPr="00370923" w:rsidRDefault="009B3D60" w:rsidP="00247334">
            <w:pPr>
              <w:rPr>
                <w:rFonts w:cs="Calibri"/>
                <w:color w:val="000000" w:themeColor="text1"/>
              </w:rPr>
            </w:pPr>
            <w:r>
              <w:rPr>
                <w:rFonts w:cs="Calibri"/>
                <w:color w:val="000000" w:themeColor="text1"/>
              </w:rPr>
              <w:t>January 202</w:t>
            </w:r>
            <w:r w:rsidR="00D56D0B">
              <w:rPr>
                <w:rFonts w:cs="Calibri"/>
                <w:color w:val="000000" w:themeColor="text1"/>
              </w:rPr>
              <w:t>4</w:t>
            </w:r>
          </w:p>
        </w:tc>
      </w:tr>
      <w:tr w:rsidR="003F0B4B" w:rsidRPr="00370923" w14:paraId="080E48B7" w14:textId="77777777" w:rsidTr="00247334">
        <w:trPr>
          <w:trHeight w:val="423"/>
        </w:trPr>
        <w:tc>
          <w:tcPr>
            <w:tcW w:w="2586" w:type="dxa"/>
            <w:vAlign w:val="center"/>
          </w:tcPr>
          <w:p w14:paraId="2875B6BD" w14:textId="77777777" w:rsidR="003F0B4B" w:rsidRPr="00370923" w:rsidRDefault="003F0B4B" w:rsidP="00247334">
            <w:pPr>
              <w:rPr>
                <w:rFonts w:cs="Calibri"/>
                <w:color w:val="000000" w:themeColor="text1"/>
              </w:rPr>
            </w:pPr>
            <w:r w:rsidRPr="00370923">
              <w:rPr>
                <w:rFonts w:cs="Calibri"/>
                <w:color w:val="000000" w:themeColor="text1"/>
              </w:rPr>
              <w:t>Developed by:</w:t>
            </w:r>
          </w:p>
        </w:tc>
        <w:tc>
          <w:tcPr>
            <w:tcW w:w="6770" w:type="dxa"/>
            <w:vAlign w:val="center"/>
          </w:tcPr>
          <w:p w14:paraId="46F0342C" w14:textId="77777777" w:rsidR="003F0B4B" w:rsidRPr="00370923" w:rsidRDefault="003F0B4B" w:rsidP="00247334">
            <w:pPr>
              <w:rPr>
                <w:rFonts w:cs="Calibri"/>
                <w:color w:val="000000" w:themeColor="text1"/>
              </w:rPr>
            </w:pPr>
            <w:r w:rsidRPr="00370923">
              <w:rPr>
                <w:rFonts w:cs="Calibri"/>
                <w:color w:val="000000" w:themeColor="text1"/>
              </w:rPr>
              <w:t>Paul Couldrey – IG Consultant</w:t>
            </w:r>
          </w:p>
        </w:tc>
      </w:tr>
      <w:tr w:rsidR="003F0B4B" w:rsidRPr="00370923" w14:paraId="113FED3E" w14:textId="77777777" w:rsidTr="00247334">
        <w:trPr>
          <w:trHeight w:val="423"/>
        </w:trPr>
        <w:tc>
          <w:tcPr>
            <w:tcW w:w="2586" w:type="dxa"/>
            <w:vAlign w:val="center"/>
          </w:tcPr>
          <w:p w14:paraId="270847F5" w14:textId="77777777" w:rsidR="003F0B4B" w:rsidRPr="00370923" w:rsidRDefault="003F0B4B" w:rsidP="00247334">
            <w:pPr>
              <w:rPr>
                <w:rFonts w:cs="Calibri"/>
                <w:color w:val="000000" w:themeColor="text1"/>
              </w:rPr>
            </w:pPr>
            <w:r w:rsidRPr="00370923">
              <w:rPr>
                <w:rFonts w:cs="Calibri"/>
                <w:color w:val="000000" w:themeColor="text1"/>
              </w:rPr>
              <w:t>Policy Sponsor:</w:t>
            </w:r>
          </w:p>
        </w:tc>
        <w:tc>
          <w:tcPr>
            <w:tcW w:w="6770" w:type="dxa"/>
            <w:vAlign w:val="center"/>
          </w:tcPr>
          <w:p w14:paraId="03BD53AE" w14:textId="0498B5D9" w:rsidR="003F0B4B" w:rsidRPr="00370923" w:rsidRDefault="00BD4EB2" w:rsidP="00247334">
            <w:pPr>
              <w:rPr>
                <w:rFonts w:cs="Calibri"/>
                <w:color w:val="000000" w:themeColor="text1"/>
              </w:rPr>
            </w:pPr>
            <w:r>
              <w:rPr>
                <w:rFonts w:cs="Calibri"/>
                <w:color w:val="000000" w:themeColor="text1"/>
              </w:rPr>
              <w:t xml:space="preserve">[Appropriate </w:t>
            </w:r>
            <w:r w:rsidR="00DD074A">
              <w:rPr>
                <w:rFonts w:cs="Calibri"/>
                <w:color w:val="000000" w:themeColor="text1"/>
              </w:rPr>
              <w:t>FED]</w:t>
            </w:r>
            <w:r>
              <w:rPr>
                <w:rFonts w:cs="Calibri"/>
                <w:color w:val="000000" w:themeColor="text1"/>
              </w:rPr>
              <w:t xml:space="preserve"> </w:t>
            </w:r>
            <w:r w:rsidR="003F0B4B" w:rsidRPr="00370923">
              <w:rPr>
                <w:rFonts w:cs="Calibri"/>
                <w:color w:val="000000" w:themeColor="text1"/>
              </w:rPr>
              <w:t>Manager</w:t>
            </w:r>
          </w:p>
        </w:tc>
      </w:tr>
      <w:tr w:rsidR="003F0B4B" w:rsidRPr="00370923" w14:paraId="32647ED2" w14:textId="77777777" w:rsidTr="00247334">
        <w:trPr>
          <w:trHeight w:val="423"/>
        </w:trPr>
        <w:tc>
          <w:tcPr>
            <w:tcW w:w="2586" w:type="dxa"/>
            <w:vAlign w:val="center"/>
          </w:tcPr>
          <w:p w14:paraId="5C7D0B62" w14:textId="77777777" w:rsidR="003F0B4B" w:rsidRPr="00370923" w:rsidRDefault="003F0B4B" w:rsidP="00247334">
            <w:pPr>
              <w:rPr>
                <w:rFonts w:cs="Calibri"/>
                <w:color w:val="000000" w:themeColor="text1"/>
              </w:rPr>
            </w:pPr>
            <w:r w:rsidRPr="00370923">
              <w:rPr>
                <w:rFonts w:cs="Calibri"/>
                <w:color w:val="000000" w:themeColor="text1"/>
              </w:rPr>
              <w:t>Target Audience:</w:t>
            </w:r>
          </w:p>
        </w:tc>
        <w:tc>
          <w:tcPr>
            <w:tcW w:w="6770" w:type="dxa"/>
            <w:vAlign w:val="center"/>
          </w:tcPr>
          <w:p w14:paraId="442AA0B8" w14:textId="7184FC9A" w:rsidR="003F0B4B" w:rsidRPr="00370923" w:rsidRDefault="003F0B4B" w:rsidP="00247334">
            <w:pPr>
              <w:rPr>
                <w:rFonts w:cs="Calibri"/>
                <w:color w:val="000000" w:themeColor="text1"/>
              </w:rPr>
            </w:pPr>
            <w:r w:rsidRPr="00370923">
              <w:rPr>
                <w:rFonts w:cs="Calibri"/>
                <w:color w:val="000000" w:themeColor="text1"/>
              </w:rPr>
              <w:t xml:space="preserve">This policy applies to any person directly employed, contracted, working on behalf of </w:t>
            </w:r>
            <w:r w:rsidR="00DD074A">
              <w:rPr>
                <w:rFonts w:cs="Calibri"/>
                <w:color w:val="000000" w:themeColor="text1"/>
              </w:rPr>
              <w:t xml:space="preserve">[FED Name] </w:t>
            </w:r>
            <w:r w:rsidR="00BD4EB2" w:rsidRPr="00370923">
              <w:rPr>
                <w:rFonts w:cs="Calibri"/>
                <w:color w:val="000000" w:themeColor="text1"/>
              </w:rPr>
              <w:t>or</w:t>
            </w:r>
            <w:r w:rsidRPr="00370923">
              <w:rPr>
                <w:rFonts w:cs="Calibri"/>
                <w:color w:val="000000" w:themeColor="text1"/>
              </w:rPr>
              <w:t xml:space="preserve"> volunteering with </w:t>
            </w:r>
            <w:r w:rsidR="00DD074A">
              <w:rPr>
                <w:rFonts w:cs="Calibri"/>
                <w:color w:val="000000" w:themeColor="text1"/>
              </w:rPr>
              <w:t>[FED Name]</w:t>
            </w:r>
            <w:r w:rsidRPr="00370923">
              <w:rPr>
                <w:rFonts w:cs="Calibri"/>
                <w:color w:val="000000" w:themeColor="text1"/>
              </w:rPr>
              <w:t>.</w:t>
            </w:r>
          </w:p>
        </w:tc>
      </w:tr>
      <w:tr w:rsidR="003F0B4B" w:rsidRPr="00370923" w14:paraId="2623BD82" w14:textId="77777777" w:rsidTr="00247334">
        <w:trPr>
          <w:trHeight w:val="423"/>
        </w:trPr>
        <w:tc>
          <w:tcPr>
            <w:tcW w:w="2586" w:type="dxa"/>
            <w:vAlign w:val="center"/>
          </w:tcPr>
          <w:p w14:paraId="54621F2C" w14:textId="77777777" w:rsidR="003F0B4B" w:rsidRPr="00370923" w:rsidRDefault="003F0B4B" w:rsidP="00247334">
            <w:pPr>
              <w:rPr>
                <w:rFonts w:cs="Calibri"/>
                <w:color w:val="000000" w:themeColor="text1"/>
              </w:rPr>
            </w:pPr>
            <w:r w:rsidRPr="00370923">
              <w:rPr>
                <w:rFonts w:cs="Calibri"/>
                <w:color w:val="000000" w:themeColor="text1"/>
              </w:rPr>
              <w:t>Associated Documents:</w:t>
            </w:r>
          </w:p>
        </w:tc>
        <w:tc>
          <w:tcPr>
            <w:tcW w:w="6770" w:type="dxa"/>
            <w:vAlign w:val="center"/>
          </w:tcPr>
          <w:p w14:paraId="5352AF81" w14:textId="4287E1F2" w:rsidR="003F0B4B" w:rsidRPr="00370923" w:rsidRDefault="003F0B4B" w:rsidP="00247334">
            <w:pPr>
              <w:rPr>
                <w:rFonts w:cs="Calibri"/>
                <w:color w:val="000000" w:themeColor="text1"/>
              </w:rPr>
            </w:pPr>
            <w:r w:rsidRPr="00370923">
              <w:rPr>
                <w:rFonts w:cs="Calibri"/>
                <w:color w:val="000000" w:themeColor="text1"/>
              </w:rPr>
              <w:t xml:space="preserve">All Information Governance Policies and the Information Governance Toolkit, and Data Security and Protections Toolkit </w:t>
            </w:r>
            <w:r w:rsidR="00D56D0B">
              <w:rPr>
                <w:rFonts w:cs="Calibri"/>
                <w:color w:val="000000" w:themeColor="text1"/>
              </w:rPr>
              <w:t>202</w:t>
            </w:r>
            <w:r w:rsidR="00BD4EB2">
              <w:rPr>
                <w:rFonts w:cs="Calibri"/>
                <w:color w:val="000000" w:themeColor="text1"/>
              </w:rPr>
              <w:t>3</w:t>
            </w:r>
            <w:r w:rsidR="00D56D0B">
              <w:rPr>
                <w:rFonts w:cs="Calibri"/>
                <w:color w:val="000000" w:themeColor="text1"/>
              </w:rPr>
              <w:t>/2</w:t>
            </w:r>
            <w:r w:rsidR="00BD4EB2">
              <w:rPr>
                <w:rFonts w:cs="Calibri"/>
                <w:color w:val="000000" w:themeColor="text1"/>
              </w:rPr>
              <w:t>4</w:t>
            </w:r>
          </w:p>
        </w:tc>
      </w:tr>
    </w:tbl>
    <w:p w14:paraId="23C5C1FD" w14:textId="77777777" w:rsidR="003F0B4B" w:rsidRDefault="003F0B4B" w:rsidP="003F0B4B">
      <w:pPr>
        <w:pStyle w:val="BodyText"/>
        <w:rPr>
          <w:rFonts w:ascii="Times New Roman"/>
          <w:b/>
          <w:color w:val="000000" w:themeColor="text1"/>
          <w:sz w:val="34"/>
        </w:rPr>
      </w:pPr>
    </w:p>
    <w:p w14:paraId="74AFD5E2" w14:textId="77777777" w:rsidR="003F0B4B" w:rsidRDefault="003F0B4B" w:rsidP="003F0B4B">
      <w:pPr>
        <w:rPr>
          <w:rFonts w:ascii="Times New Roman"/>
          <w:b/>
          <w:color w:val="000000" w:themeColor="text1"/>
          <w:sz w:val="34"/>
          <w:szCs w:val="24"/>
        </w:rPr>
      </w:pPr>
      <w:r>
        <w:rPr>
          <w:rFonts w:ascii="Times New Roman"/>
          <w:b/>
          <w:color w:val="000000" w:themeColor="text1"/>
          <w:sz w:val="34"/>
        </w:rPr>
        <w:br w:type="page"/>
      </w:r>
    </w:p>
    <w:p w14:paraId="4B557E40" w14:textId="27921E31" w:rsidR="0031507A" w:rsidRDefault="00DD074A" w:rsidP="0031507A">
      <w:pPr>
        <w:pStyle w:val="ListParagraph"/>
        <w:rPr>
          <w:rFonts w:ascii="Arial" w:hAnsi="Arial" w:cs="Arial"/>
          <w:sz w:val="32"/>
          <w:szCs w:val="32"/>
        </w:rPr>
      </w:pPr>
      <w:r>
        <w:rPr>
          <w:rFonts w:ascii="Arial" w:hAnsi="Arial" w:cs="Arial"/>
          <w:sz w:val="32"/>
          <w:szCs w:val="32"/>
        </w:rPr>
        <w:lastRenderedPageBreak/>
        <w:t>[FED Name]</w:t>
      </w:r>
      <w:r w:rsidR="00BD4EB2" w:rsidRPr="00BD4EB2">
        <w:rPr>
          <w:rFonts w:ascii="Arial" w:hAnsi="Arial" w:cs="Arial"/>
          <w:sz w:val="32"/>
          <w:szCs w:val="32"/>
        </w:rPr>
        <w:t>Ltd</w:t>
      </w:r>
    </w:p>
    <w:p w14:paraId="64F2EFEA" w14:textId="77777777" w:rsidR="00BD4EB2" w:rsidRPr="0031507A" w:rsidRDefault="00BD4EB2" w:rsidP="0031507A">
      <w:pPr>
        <w:pStyle w:val="ListParagraph"/>
        <w:rPr>
          <w:rFonts w:ascii="Arial" w:hAnsi="Arial" w:cs="Arial"/>
          <w:sz w:val="32"/>
          <w:szCs w:val="32"/>
        </w:rPr>
      </w:pPr>
    </w:p>
    <w:p w14:paraId="75721C7B" w14:textId="40FEDFAB" w:rsidR="00E905BB" w:rsidRPr="0031507A" w:rsidRDefault="00E905BB" w:rsidP="00141B44">
      <w:pPr>
        <w:pStyle w:val="ListParagraph"/>
        <w:numPr>
          <w:ilvl w:val="0"/>
          <w:numId w:val="15"/>
        </w:numPr>
        <w:rPr>
          <w:rFonts w:ascii="Arial" w:hAnsi="Arial" w:cs="Arial"/>
          <w:b/>
          <w:bCs/>
          <w:u w:val="single"/>
        </w:rPr>
      </w:pPr>
      <w:r w:rsidRPr="0031507A">
        <w:rPr>
          <w:rFonts w:ascii="Arial" w:hAnsi="Arial" w:cs="Arial"/>
          <w:b/>
          <w:bCs/>
          <w:u w:val="single"/>
        </w:rPr>
        <w:t xml:space="preserve">Staff Confidentiality </w:t>
      </w:r>
      <w:r w:rsidR="0031507A" w:rsidRPr="0031507A">
        <w:rPr>
          <w:rFonts w:ascii="Arial" w:hAnsi="Arial" w:cs="Arial"/>
          <w:b/>
          <w:bCs/>
          <w:u w:val="single"/>
        </w:rPr>
        <w:t>Guidance</w:t>
      </w:r>
      <w:r w:rsidRPr="0031507A">
        <w:rPr>
          <w:rFonts w:ascii="Arial" w:hAnsi="Arial" w:cs="Arial"/>
          <w:b/>
          <w:bCs/>
          <w:u w:val="single"/>
        </w:rPr>
        <w:cr/>
      </w:r>
    </w:p>
    <w:p w14:paraId="55B34D14" w14:textId="4F432B0C" w:rsidR="0031507A" w:rsidRPr="0031507A" w:rsidRDefault="0031507A" w:rsidP="0031507A">
      <w:pPr>
        <w:ind w:left="720"/>
        <w:jc w:val="both"/>
        <w:rPr>
          <w:rFonts w:ascii="Arial" w:hAnsi="Arial" w:cs="Arial"/>
          <w:u w:val="single"/>
        </w:rPr>
      </w:pPr>
      <w:r w:rsidRPr="0031507A">
        <w:rPr>
          <w:rFonts w:ascii="Arial" w:hAnsi="Arial" w:cs="Arial"/>
        </w:rPr>
        <w:t xml:space="preserve">All your work activity on </w:t>
      </w:r>
      <w:r w:rsidR="00DD074A">
        <w:rPr>
          <w:rFonts w:ascii="Arial" w:hAnsi="Arial" w:cs="Arial"/>
        </w:rPr>
        <w:t xml:space="preserve">[FED Name] </w:t>
      </w:r>
      <w:r w:rsidRPr="0031507A">
        <w:rPr>
          <w:rFonts w:ascii="Arial" w:hAnsi="Arial" w:cs="Arial"/>
        </w:rPr>
        <w:t xml:space="preserve">systems and premises is monitored in accordance with Data Protection Act 2018 and the </w:t>
      </w:r>
      <w:r w:rsidR="00031A33">
        <w:rPr>
          <w:rFonts w:ascii="Arial" w:hAnsi="Arial" w:cs="Arial"/>
        </w:rPr>
        <w:t xml:space="preserve">UK </w:t>
      </w:r>
      <w:r w:rsidRPr="0031507A">
        <w:rPr>
          <w:rFonts w:ascii="Arial" w:hAnsi="Arial" w:cs="Arial"/>
        </w:rPr>
        <w:t>General Data Protection Regulation 2016.</w:t>
      </w:r>
    </w:p>
    <w:p w14:paraId="188A251F" w14:textId="374A74CA" w:rsidR="0031507A" w:rsidRPr="0031507A" w:rsidRDefault="0031507A" w:rsidP="0031507A">
      <w:pPr>
        <w:pStyle w:val="NormalWeb"/>
        <w:spacing w:before="0" w:beforeAutospacing="0" w:after="240" w:afterAutospacing="0"/>
        <w:ind w:firstLine="720"/>
        <w:rPr>
          <w:rFonts w:ascii="Arial" w:hAnsi="Arial" w:cs="Arial"/>
          <w:sz w:val="22"/>
          <w:szCs w:val="22"/>
        </w:rPr>
      </w:pPr>
      <w:r w:rsidRPr="0031507A">
        <w:rPr>
          <w:rFonts w:ascii="Arial" w:hAnsi="Arial" w:cs="Arial"/>
          <w:sz w:val="22"/>
          <w:szCs w:val="22"/>
        </w:rPr>
        <w:t>Monitoring in the workplace includes but is not limited to:</w:t>
      </w:r>
    </w:p>
    <w:p w14:paraId="06BECA7E" w14:textId="77777777" w:rsidR="0031507A" w:rsidRPr="0031507A" w:rsidRDefault="0031507A" w:rsidP="0031507A">
      <w:pPr>
        <w:pStyle w:val="ListParagraph"/>
        <w:numPr>
          <w:ilvl w:val="0"/>
          <w:numId w:val="12"/>
        </w:numPr>
        <w:spacing w:before="100" w:beforeAutospacing="1" w:after="100" w:afterAutospacing="1" w:line="240" w:lineRule="auto"/>
        <w:rPr>
          <w:rFonts w:ascii="Arial" w:hAnsi="Arial" w:cs="Arial"/>
        </w:rPr>
      </w:pPr>
      <w:r w:rsidRPr="0031507A">
        <w:rPr>
          <w:rFonts w:ascii="Arial" w:hAnsi="Arial" w:cs="Arial"/>
        </w:rPr>
        <w:t>recording on CCTV cameras</w:t>
      </w:r>
    </w:p>
    <w:p w14:paraId="606AE809" w14:textId="77777777" w:rsidR="0031507A" w:rsidRPr="0031507A" w:rsidRDefault="0031507A" w:rsidP="0031507A">
      <w:pPr>
        <w:pStyle w:val="ListParagraph"/>
        <w:numPr>
          <w:ilvl w:val="0"/>
          <w:numId w:val="12"/>
        </w:numPr>
        <w:spacing w:before="100" w:beforeAutospacing="1" w:after="100" w:afterAutospacing="1" w:line="240" w:lineRule="auto"/>
        <w:rPr>
          <w:rFonts w:ascii="Arial" w:hAnsi="Arial" w:cs="Arial"/>
        </w:rPr>
      </w:pPr>
      <w:r w:rsidRPr="0031507A">
        <w:rPr>
          <w:rFonts w:ascii="Arial" w:hAnsi="Arial" w:cs="Arial"/>
        </w:rPr>
        <w:t>opening mail or email</w:t>
      </w:r>
    </w:p>
    <w:p w14:paraId="00549E2E" w14:textId="77777777" w:rsidR="0031507A" w:rsidRPr="0031507A" w:rsidRDefault="0031507A" w:rsidP="0031507A">
      <w:pPr>
        <w:pStyle w:val="ListParagraph"/>
        <w:numPr>
          <w:ilvl w:val="0"/>
          <w:numId w:val="12"/>
        </w:numPr>
        <w:spacing w:before="100" w:beforeAutospacing="1" w:after="100" w:afterAutospacing="1" w:line="240" w:lineRule="auto"/>
        <w:rPr>
          <w:rFonts w:ascii="Arial" w:hAnsi="Arial" w:cs="Arial"/>
        </w:rPr>
      </w:pPr>
      <w:r w:rsidRPr="0031507A">
        <w:rPr>
          <w:rFonts w:ascii="Arial" w:hAnsi="Arial" w:cs="Arial"/>
        </w:rPr>
        <w:t>use of automated software to check email</w:t>
      </w:r>
    </w:p>
    <w:p w14:paraId="4944F652" w14:textId="77777777" w:rsidR="0031507A" w:rsidRPr="0031507A" w:rsidRDefault="0031507A" w:rsidP="0031507A">
      <w:pPr>
        <w:pStyle w:val="ListParagraph"/>
        <w:numPr>
          <w:ilvl w:val="0"/>
          <w:numId w:val="12"/>
        </w:numPr>
        <w:spacing w:before="100" w:beforeAutospacing="1" w:after="100" w:afterAutospacing="1" w:line="240" w:lineRule="auto"/>
        <w:rPr>
          <w:rFonts w:ascii="Arial" w:hAnsi="Arial" w:cs="Arial"/>
        </w:rPr>
      </w:pPr>
      <w:r w:rsidRPr="0031507A">
        <w:rPr>
          <w:rFonts w:ascii="Arial" w:hAnsi="Arial" w:cs="Arial"/>
        </w:rPr>
        <w:t>checking phone logs or recording phone calls</w:t>
      </w:r>
    </w:p>
    <w:p w14:paraId="75AA76B0" w14:textId="77777777" w:rsidR="0031507A" w:rsidRPr="0031507A" w:rsidRDefault="0031507A" w:rsidP="0031507A">
      <w:pPr>
        <w:pStyle w:val="ListParagraph"/>
        <w:numPr>
          <w:ilvl w:val="0"/>
          <w:numId w:val="12"/>
        </w:numPr>
        <w:spacing w:before="100" w:beforeAutospacing="1" w:after="100" w:afterAutospacing="1" w:line="240" w:lineRule="auto"/>
        <w:rPr>
          <w:rFonts w:ascii="Arial" w:hAnsi="Arial" w:cs="Arial"/>
        </w:rPr>
      </w:pPr>
      <w:r w:rsidRPr="0031507A">
        <w:rPr>
          <w:rFonts w:ascii="Arial" w:hAnsi="Arial" w:cs="Arial"/>
        </w:rPr>
        <w:t>checking logs of websites visited</w:t>
      </w:r>
    </w:p>
    <w:p w14:paraId="2798306E" w14:textId="77777777" w:rsidR="0031507A" w:rsidRPr="0031507A" w:rsidRDefault="0031507A" w:rsidP="0031507A">
      <w:pPr>
        <w:pStyle w:val="ListParagraph"/>
        <w:numPr>
          <w:ilvl w:val="0"/>
          <w:numId w:val="12"/>
        </w:numPr>
        <w:spacing w:before="100" w:beforeAutospacing="1" w:after="100" w:afterAutospacing="1" w:line="240" w:lineRule="auto"/>
        <w:rPr>
          <w:rFonts w:ascii="Arial" w:hAnsi="Arial" w:cs="Arial"/>
        </w:rPr>
      </w:pPr>
      <w:r w:rsidRPr="0031507A">
        <w:rPr>
          <w:rFonts w:ascii="Arial" w:hAnsi="Arial" w:cs="Arial"/>
        </w:rPr>
        <w:t>videoing outside the workplace</w:t>
      </w:r>
    </w:p>
    <w:p w14:paraId="0EC43927" w14:textId="221EF70A" w:rsidR="0031507A" w:rsidRPr="0031507A" w:rsidRDefault="0031507A" w:rsidP="0031507A">
      <w:pPr>
        <w:pStyle w:val="ListParagraph"/>
        <w:numPr>
          <w:ilvl w:val="0"/>
          <w:numId w:val="12"/>
        </w:numPr>
        <w:spacing w:before="100" w:beforeAutospacing="1" w:after="100" w:afterAutospacing="1" w:line="240" w:lineRule="auto"/>
        <w:rPr>
          <w:rFonts w:ascii="Arial" w:hAnsi="Arial" w:cs="Arial"/>
        </w:rPr>
      </w:pPr>
      <w:r w:rsidRPr="0031507A">
        <w:rPr>
          <w:rFonts w:ascii="Arial" w:hAnsi="Arial" w:cs="Arial"/>
        </w:rPr>
        <w:t xml:space="preserve">collecting information through clinical systems, to check the performance of individual </w:t>
      </w:r>
      <w:r w:rsidR="00031A33" w:rsidRPr="0031507A">
        <w:rPr>
          <w:rFonts w:ascii="Arial" w:hAnsi="Arial" w:cs="Arial"/>
        </w:rPr>
        <w:t>staff.</w:t>
      </w:r>
    </w:p>
    <w:p w14:paraId="5C825E21" w14:textId="77777777" w:rsidR="0031507A" w:rsidRPr="0031507A" w:rsidRDefault="0031507A" w:rsidP="00141B44">
      <w:pPr>
        <w:pStyle w:val="Heading2"/>
        <w:numPr>
          <w:ilvl w:val="0"/>
          <w:numId w:val="15"/>
        </w:numPr>
        <w:spacing w:before="240" w:beforeAutospacing="0" w:after="144" w:afterAutospacing="0"/>
        <w:rPr>
          <w:rFonts w:ascii="Arial" w:hAnsi="Arial" w:cs="Arial"/>
          <w:sz w:val="22"/>
          <w:szCs w:val="22"/>
          <w:u w:val="single"/>
        </w:rPr>
      </w:pPr>
      <w:r w:rsidRPr="0031507A">
        <w:rPr>
          <w:rFonts w:ascii="Arial" w:hAnsi="Arial" w:cs="Arial"/>
          <w:sz w:val="22"/>
          <w:szCs w:val="22"/>
          <w:u w:val="single"/>
        </w:rPr>
        <w:t>Monitoring electronic communications at work</w:t>
      </w:r>
    </w:p>
    <w:p w14:paraId="10620AEE" w14:textId="5ED74772" w:rsidR="0031507A" w:rsidRPr="0031507A" w:rsidRDefault="00DD074A" w:rsidP="0031507A">
      <w:pPr>
        <w:pStyle w:val="NormalWeb"/>
        <w:spacing w:before="0" w:beforeAutospacing="0" w:after="240" w:afterAutospacing="0"/>
        <w:ind w:left="851"/>
        <w:rPr>
          <w:rFonts w:ascii="Arial" w:hAnsi="Arial" w:cs="Arial"/>
          <w:sz w:val="22"/>
          <w:szCs w:val="22"/>
        </w:rPr>
      </w:pPr>
      <w:r>
        <w:rPr>
          <w:rFonts w:ascii="Arial" w:hAnsi="Arial" w:cs="Arial"/>
          <w:sz w:val="22"/>
          <w:szCs w:val="22"/>
        </w:rPr>
        <w:t>[FED Name]</w:t>
      </w:r>
      <w:r w:rsidR="00BD4EB2">
        <w:rPr>
          <w:rFonts w:ascii="Arial" w:hAnsi="Arial" w:cs="Arial"/>
          <w:sz w:val="22"/>
          <w:szCs w:val="22"/>
        </w:rPr>
        <w:t xml:space="preserve"> </w:t>
      </w:r>
      <w:r w:rsidR="00BD4EB2" w:rsidRPr="0031507A">
        <w:rPr>
          <w:rFonts w:ascii="Arial" w:hAnsi="Arial" w:cs="Arial"/>
          <w:sz w:val="22"/>
          <w:szCs w:val="22"/>
        </w:rPr>
        <w:t>can</w:t>
      </w:r>
      <w:r w:rsidR="0031507A" w:rsidRPr="0031507A">
        <w:rPr>
          <w:rFonts w:ascii="Arial" w:hAnsi="Arial" w:cs="Arial"/>
          <w:sz w:val="22"/>
          <w:szCs w:val="22"/>
        </w:rPr>
        <w:t xml:space="preserve"> legally monitor phone, internet, </w:t>
      </w:r>
      <w:r w:rsidR="00031A33" w:rsidRPr="0031507A">
        <w:rPr>
          <w:rFonts w:ascii="Arial" w:hAnsi="Arial" w:cs="Arial"/>
          <w:sz w:val="22"/>
          <w:szCs w:val="22"/>
        </w:rPr>
        <w:t>email,</w:t>
      </w:r>
      <w:r w:rsidR="0031507A" w:rsidRPr="0031507A">
        <w:rPr>
          <w:rFonts w:ascii="Arial" w:hAnsi="Arial" w:cs="Arial"/>
          <w:sz w:val="22"/>
          <w:szCs w:val="22"/>
        </w:rPr>
        <w:t xml:space="preserve"> or fax use in the workplace if:</w:t>
      </w:r>
    </w:p>
    <w:p w14:paraId="1C4A185E" w14:textId="2258F219" w:rsidR="0031507A" w:rsidRPr="0031507A" w:rsidRDefault="0031507A" w:rsidP="0031507A">
      <w:pPr>
        <w:pStyle w:val="ListParagraph"/>
        <w:numPr>
          <w:ilvl w:val="2"/>
          <w:numId w:val="13"/>
        </w:numPr>
        <w:spacing w:before="100" w:beforeAutospacing="1" w:after="100" w:afterAutospacing="1" w:line="240" w:lineRule="auto"/>
        <w:rPr>
          <w:rFonts w:ascii="Arial" w:hAnsi="Arial" w:cs="Arial"/>
        </w:rPr>
      </w:pPr>
      <w:r w:rsidRPr="0031507A">
        <w:rPr>
          <w:rFonts w:ascii="Arial" w:hAnsi="Arial" w:cs="Arial"/>
        </w:rPr>
        <w:t xml:space="preserve">the monitoring relates to the </w:t>
      </w:r>
      <w:r w:rsidR="00031A33" w:rsidRPr="0031507A">
        <w:rPr>
          <w:rFonts w:ascii="Arial" w:hAnsi="Arial" w:cs="Arial"/>
        </w:rPr>
        <w:t>business.</w:t>
      </w:r>
    </w:p>
    <w:p w14:paraId="619581B3" w14:textId="75E3E8BF" w:rsidR="0031507A" w:rsidRPr="0031507A" w:rsidRDefault="0031507A" w:rsidP="0031507A">
      <w:pPr>
        <w:pStyle w:val="ListParagraph"/>
        <w:numPr>
          <w:ilvl w:val="2"/>
          <w:numId w:val="13"/>
        </w:numPr>
        <w:spacing w:before="100" w:beforeAutospacing="1" w:after="100" w:afterAutospacing="1" w:line="240" w:lineRule="auto"/>
        <w:rPr>
          <w:rFonts w:ascii="Arial" w:hAnsi="Arial" w:cs="Arial"/>
        </w:rPr>
      </w:pPr>
      <w:r w:rsidRPr="0031507A">
        <w:rPr>
          <w:rFonts w:ascii="Arial" w:hAnsi="Arial" w:cs="Arial"/>
        </w:rPr>
        <w:t xml:space="preserve">the equipment being monitored is provided partly or wholly for </w:t>
      </w:r>
      <w:r w:rsidR="00031A33" w:rsidRPr="0031507A">
        <w:rPr>
          <w:rFonts w:ascii="Arial" w:hAnsi="Arial" w:cs="Arial"/>
        </w:rPr>
        <w:t>work.</w:t>
      </w:r>
    </w:p>
    <w:p w14:paraId="3F9D88AB" w14:textId="6CDCD01C" w:rsidR="0031507A" w:rsidRPr="0031507A" w:rsidRDefault="00DD074A" w:rsidP="0031507A">
      <w:pPr>
        <w:pStyle w:val="ListParagraph"/>
        <w:numPr>
          <w:ilvl w:val="2"/>
          <w:numId w:val="13"/>
        </w:numPr>
        <w:spacing w:before="100" w:beforeAutospacing="1" w:after="100" w:afterAutospacing="1" w:line="240" w:lineRule="auto"/>
        <w:rPr>
          <w:rFonts w:ascii="Arial" w:hAnsi="Arial" w:cs="Arial"/>
        </w:rPr>
      </w:pPr>
      <w:r>
        <w:rPr>
          <w:rFonts w:ascii="Arial" w:hAnsi="Arial" w:cs="Arial"/>
        </w:rPr>
        <w:t>[FED Name]</w:t>
      </w:r>
      <w:r w:rsidR="00BD4EB2">
        <w:rPr>
          <w:rFonts w:ascii="Arial" w:hAnsi="Arial" w:cs="Arial"/>
        </w:rPr>
        <w:t xml:space="preserve"> </w:t>
      </w:r>
      <w:r w:rsidR="00B82A36">
        <w:rPr>
          <w:rFonts w:ascii="Arial" w:hAnsi="Arial" w:cs="Arial"/>
        </w:rPr>
        <w:t>via this guidance</w:t>
      </w:r>
      <w:r w:rsidR="0031507A" w:rsidRPr="0031507A">
        <w:rPr>
          <w:rFonts w:ascii="Arial" w:hAnsi="Arial" w:cs="Arial"/>
        </w:rPr>
        <w:t xml:space="preserve"> has made all reasonable efforts to inform you that your communications will be </w:t>
      </w:r>
      <w:r w:rsidR="00031A33" w:rsidRPr="0031507A">
        <w:rPr>
          <w:rFonts w:ascii="Arial" w:hAnsi="Arial" w:cs="Arial"/>
        </w:rPr>
        <w:t>monitored.</w:t>
      </w:r>
    </w:p>
    <w:p w14:paraId="1990DD64" w14:textId="2DA1FB37" w:rsidR="0031507A" w:rsidRPr="0031507A" w:rsidRDefault="0031507A" w:rsidP="0031507A">
      <w:pPr>
        <w:pStyle w:val="NormalWeb"/>
        <w:spacing w:before="0" w:beforeAutospacing="0" w:after="240" w:afterAutospacing="0"/>
        <w:ind w:left="851"/>
        <w:rPr>
          <w:rFonts w:ascii="Arial" w:hAnsi="Arial" w:cs="Arial"/>
          <w:sz w:val="22"/>
          <w:szCs w:val="22"/>
        </w:rPr>
      </w:pPr>
      <w:r w:rsidRPr="0031507A">
        <w:rPr>
          <w:rFonts w:ascii="Arial" w:hAnsi="Arial" w:cs="Arial"/>
          <w:sz w:val="22"/>
          <w:szCs w:val="22"/>
        </w:rPr>
        <w:t xml:space="preserve">You should bear in mind that these circumstances cover almost every situation where </w:t>
      </w:r>
      <w:r w:rsidR="00DD074A">
        <w:rPr>
          <w:rFonts w:ascii="Arial" w:hAnsi="Arial" w:cs="Arial"/>
          <w:sz w:val="22"/>
          <w:szCs w:val="22"/>
        </w:rPr>
        <w:t>[FED Name]</w:t>
      </w:r>
      <w:r w:rsidR="00BD4EB2">
        <w:rPr>
          <w:rFonts w:ascii="Arial" w:hAnsi="Arial" w:cs="Arial"/>
          <w:sz w:val="22"/>
          <w:szCs w:val="22"/>
        </w:rPr>
        <w:t xml:space="preserve">Ltd </w:t>
      </w:r>
      <w:r w:rsidRPr="0031507A">
        <w:rPr>
          <w:rFonts w:ascii="Arial" w:hAnsi="Arial" w:cs="Arial"/>
          <w:sz w:val="22"/>
          <w:szCs w:val="22"/>
        </w:rPr>
        <w:t xml:space="preserve">might want to monitor your electronic communications, </w:t>
      </w:r>
      <w:r w:rsidR="00DD074A">
        <w:rPr>
          <w:rFonts w:ascii="Arial" w:hAnsi="Arial" w:cs="Arial"/>
          <w:sz w:val="22"/>
          <w:szCs w:val="22"/>
          <w:highlight w:val="yellow"/>
        </w:rPr>
        <w:t>[FED Name]</w:t>
      </w:r>
      <w:r w:rsidR="00BD4EB2" w:rsidRPr="00BD4EB2">
        <w:rPr>
          <w:rFonts w:ascii="Arial" w:hAnsi="Arial" w:cs="Arial"/>
          <w:sz w:val="22"/>
          <w:szCs w:val="22"/>
          <w:highlight w:val="yellow"/>
        </w:rPr>
        <w:t xml:space="preserve"> </w:t>
      </w:r>
      <w:r w:rsidRPr="00BD4EB2">
        <w:rPr>
          <w:rFonts w:ascii="Arial" w:hAnsi="Arial" w:cs="Arial"/>
          <w:sz w:val="22"/>
          <w:szCs w:val="22"/>
          <w:highlight w:val="yellow"/>
        </w:rPr>
        <w:t xml:space="preserve">does not allow </w:t>
      </w:r>
      <w:r w:rsidR="00BD4EB2" w:rsidRPr="00BD4EB2">
        <w:rPr>
          <w:rFonts w:ascii="Arial" w:hAnsi="Arial" w:cs="Arial"/>
          <w:sz w:val="22"/>
          <w:szCs w:val="22"/>
          <w:highlight w:val="yellow"/>
        </w:rPr>
        <w:t xml:space="preserve">the </w:t>
      </w:r>
      <w:r w:rsidRPr="00BD4EB2">
        <w:rPr>
          <w:rFonts w:ascii="Arial" w:hAnsi="Arial" w:cs="Arial"/>
          <w:sz w:val="22"/>
          <w:szCs w:val="22"/>
          <w:highlight w:val="yellow"/>
        </w:rPr>
        <w:t>system to be used for personal use at all.</w:t>
      </w:r>
    </w:p>
    <w:p w14:paraId="658A13ED" w14:textId="49491590" w:rsidR="0031507A" w:rsidRPr="0031507A" w:rsidRDefault="00DD074A" w:rsidP="0031507A">
      <w:pPr>
        <w:pStyle w:val="NormalWeb"/>
        <w:spacing w:before="0" w:beforeAutospacing="0" w:after="240" w:afterAutospacing="0"/>
        <w:ind w:left="851"/>
        <w:rPr>
          <w:rFonts w:ascii="Arial" w:hAnsi="Arial" w:cs="Arial"/>
          <w:sz w:val="22"/>
          <w:szCs w:val="22"/>
        </w:rPr>
      </w:pPr>
      <w:r>
        <w:rPr>
          <w:rFonts w:ascii="Arial" w:hAnsi="Arial" w:cs="Arial"/>
          <w:sz w:val="22"/>
          <w:szCs w:val="22"/>
        </w:rPr>
        <w:t xml:space="preserve">[FED Name]  </w:t>
      </w:r>
      <w:r w:rsidR="00BD4EB2" w:rsidRPr="0031507A">
        <w:rPr>
          <w:rFonts w:ascii="Arial" w:hAnsi="Arial" w:cs="Arial"/>
          <w:sz w:val="22"/>
          <w:szCs w:val="22"/>
        </w:rPr>
        <w:t>don’t</w:t>
      </w:r>
      <w:r w:rsidR="0031507A" w:rsidRPr="0031507A">
        <w:rPr>
          <w:rFonts w:ascii="Arial" w:hAnsi="Arial" w:cs="Arial"/>
          <w:sz w:val="22"/>
          <w:szCs w:val="22"/>
        </w:rPr>
        <w:t xml:space="preserve"> need your consent before monitoring your electronic communications for any of these reasons:</w:t>
      </w:r>
    </w:p>
    <w:p w14:paraId="7D2B59B0" w14:textId="77777777" w:rsidR="0031507A" w:rsidRPr="0031507A" w:rsidRDefault="0031507A" w:rsidP="0031507A">
      <w:pPr>
        <w:pStyle w:val="ListParagraph"/>
        <w:numPr>
          <w:ilvl w:val="0"/>
          <w:numId w:val="14"/>
        </w:numPr>
        <w:spacing w:before="100" w:beforeAutospacing="1" w:after="100" w:afterAutospacing="1" w:line="240" w:lineRule="auto"/>
        <w:ind w:left="2268"/>
        <w:rPr>
          <w:rFonts w:ascii="Arial" w:hAnsi="Arial" w:cs="Arial"/>
        </w:rPr>
      </w:pPr>
      <w:r w:rsidRPr="0031507A">
        <w:rPr>
          <w:rFonts w:ascii="Arial" w:hAnsi="Arial" w:cs="Arial"/>
        </w:rPr>
        <w:t>to establish facts which are relevant to the business, to check that procedures are being followed, or to check standards - for example, listening to phone calls to assess the quality of your work</w:t>
      </w:r>
    </w:p>
    <w:p w14:paraId="031CB90A" w14:textId="77777777" w:rsidR="0031507A" w:rsidRPr="0031507A" w:rsidRDefault="0031507A" w:rsidP="0031507A">
      <w:pPr>
        <w:pStyle w:val="ListParagraph"/>
        <w:numPr>
          <w:ilvl w:val="0"/>
          <w:numId w:val="14"/>
        </w:numPr>
        <w:spacing w:before="100" w:beforeAutospacing="1" w:after="100" w:afterAutospacing="1" w:line="240" w:lineRule="auto"/>
        <w:ind w:left="2268"/>
        <w:rPr>
          <w:rFonts w:ascii="Arial" w:hAnsi="Arial" w:cs="Arial"/>
        </w:rPr>
      </w:pPr>
      <w:r w:rsidRPr="0031507A">
        <w:rPr>
          <w:rFonts w:ascii="Arial" w:hAnsi="Arial" w:cs="Arial"/>
        </w:rPr>
        <w:t>to prevent or detect crime</w:t>
      </w:r>
    </w:p>
    <w:p w14:paraId="7FF37119" w14:textId="77777777" w:rsidR="0031507A" w:rsidRPr="0031507A" w:rsidRDefault="0031507A" w:rsidP="0031507A">
      <w:pPr>
        <w:pStyle w:val="ListParagraph"/>
        <w:numPr>
          <w:ilvl w:val="0"/>
          <w:numId w:val="14"/>
        </w:numPr>
        <w:spacing w:before="100" w:beforeAutospacing="1" w:after="100" w:afterAutospacing="1" w:line="240" w:lineRule="auto"/>
        <w:ind w:left="2268"/>
        <w:rPr>
          <w:rFonts w:ascii="Arial" w:hAnsi="Arial" w:cs="Arial"/>
        </w:rPr>
      </w:pPr>
      <w:r w:rsidRPr="0031507A">
        <w:rPr>
          <w:rFonts w:ascii="Arial" w:hAnsi="Arial" w:cs="Arial"/>
        </w:rPr>
        <w:t>to check for unauthorised use of telecommunications systems, such as whether you are using the internet or email for personal use</w:t>
      </w:r>
    </w:p>
    <w:p w14:paraId="3946BC54" w14:textId="77777777" w:rsidR="0031507A" w:rsidRPr="0031507A" w:rsidRDefault="0031507A" w:rsidP="0031507A">
      <w:pPr>
        <w:pStyle w:val="ListParagraph"/>
        <w:numPr>
          <w:ilvl w:val="0"/>
          <w:numId w:val="14"/>
        </w:numPr>
        <w:spacing w:before="100" w:beforeAutospacing="1" w:after="100" w:afterAutospacing="1" w:line="240" w:lineRule="auto"/>
        <w:ind w:left="2268"/>
        <w:rPr>
          <w:rFonts w:ascii="Arial" w:hAnsi="Arial" w:cs="Arial"/>
        </w:rPr>
      </w:pPr>
      <w:r w:rsidRPr="0031507A">
        <w:rPr>
          <w:rFonts w:ascii="Arial" w:hAnsi="Arial" w:cs="Arial"/>
        </w:rPr>
        <w:t>to make sure electronic systems are operating effectively - for example, to prevent computer viruses entering the system</w:t>
      </w:r>
    </w:p>
    <w:p w14:paraId="69B3B0D0" w14:textId="12525E8B" w:rsidR="0031507A" w:rsidRPr="0031507A" w:rsidRDefault="0031507A" w:rsidP="0031507A">
      <w:pPr>
        <w:pStyle w:val="ListParagraph"/>
        <w:numPr>
          <w:ilvl w:val="0"/>
          <w:numId w:val="14"/>
        </w:numPr>
        <w:spacing w:before="100" w:beforeAutospacing="1" w:after="100" w:afterAutospacing="1" w:line="240" w:lineRule="auto"/>
        <w:ind w:left="2268"/>
        <w:rPr>
          <w:rFonts w:ascii="Arial" w:hAnsi="Arial" w:cs="Arial"/>
        </w:rPr>
      </w:pPr>
      <w:r w:rsidRPr="0031507A">
        <w:rPr>
          <w:rFonts w:ascii="Arial" w:hAnsi="Arial" w:cs="Arial"/>
        </w:rPr>
        <w:t xml:space="preserve">to check whether a communication you have received, such as an email or phone call is relevant to the business. Your employer can open your emails or listen to voicemails </w:t>
      </w:r>
    </w:p>
    <w:p w14:paraId="6A523D51" w14:textId="20FD1561" w:rsidR="00141B44" w:rsidRDefault="00141B44">
      <w:pPr>
        <w:rPr>
          <w:rFonts w:ascii="Arial" w:hAnsi="Arial" w:cs="Arial"/>
          <w:u w:val="single"/>
        </w:rPr>
      </w:pPr>
      <w:r>
        <w:rPr>
          <w:rFonts w:ascii="Arial" w:hAnsi="Arial" w:cs="Arial"/>
          <w:u w:val="single"/>
        </w:rPr>
        <w:br w:type="page"/>
      </w:r>
    </w:p>
    <w:p w14:paraId="2829E0DD" w14:textId="77777777" w:rsidR="0031507A" w:rsidRDefault="0031507A" w:rsidP="0031507A">
      <w:pPr>
        <w:pStyle w:val="ListParagraph"/>
        <w:ind w:left="851"/>
        <w:rPr>
          <w:rFonts w:ascii="Arial" w:hAnsi="Arial" w:cs="Arial"/>
          <w:u w:val="single"/>
        </w:rPr>
      </w:pPr>
    </w:p>
    <w:p w14:paraId="1D918BDC" w14:textId="0E745C14" w:rsidR="00141B44" w:rsidRPr="00141B44" w:rsidRDefault="00141B44" w:rsidP="00141B44">
      <w:pPr>
        <w:pStyle w:val="ListParagraph"/>
        <w:numPr>
          <w:ilvl w:val="0"/>
          <w:numId w:val="15"/>
        </w:numPr>
        <w:rPr>
          <w:rFonts w:ascii="Arial" w:hAnsi="Arial" w:cs="Arial"/>
          <w:b/>
          <w:bCs/>
          <w:u w:val="single"/>
        </w:rPr>
      </w:pPr>
      <w:r w:rsidRPr="00141B44">
        <w:rPr>
          <w:rFonts w:ascii="Arial" w:hAnsi="Arial" w:cs="Arial"/>
          <w:b/>
          <w:bCs/>
          <w:u w:val="single"/>
        </w:rPr>
        <w:t>Accessing Records of Family or Friends</w:t>
      </w:r>
    </w:p>
    <w:p w14:paraId="654AF1FC" w14:textId="073233D5" w:rsidR="00141B44" w:rsidRDefault="00141B44" w:rsidP="0031507A">
      <w:pPr>
        <w:pStyle w:val="ListParagraph"/>
        <w:ind w:left="851"/>
        <w:rPr>
          <w:rFonts w:ascii="Arial" w:hAnsi="Arial" w:cs="Arial"/>
          <w:u w:val="single"/>
        </w:rPr>
      </w:pPr>
    </w:p>
    <w:p w14:paraId="7258395A" w14:textId="77777777" w:rsidR="00BD4EB2" w:rsidRDefault="00141B44" w:rsidP="0031507A">
      <w:pPr>
        <w:pStyle w:val="ListParagraph"/>
        <w:ind w:left="851"/>
        <w:rPr>
          <w:rFonts w:ascii="Arial" w:hAnsi="Arial" w:cs="Arial"/>
        </w:rPr>
      </w:pPr>
      <w:r w:rsidRPr="00141B44">
        <w:rPr>
          <w:rFonts w:ascii="Arial" w:hAnsi="Arial" w:cs="Arial"/>
        </w:rPr>
        <w:t>Remember you are only able to access patient</w:t>
      </w:r>
      <w:r w:rsidR="00BD4EB2">
        <w:rPr>
          <w:rFonts w:ascii="Arial" w:hAnsi="Arial" w:cs="Arial"/>
        </w:rPr>
        <w:t xml:space="preserve">, </w:t>
      </w:r>
      <w:r w:rsidRPr="00141B44">
        <w:rPr>
          <w:rFonts w:ascii="Arial" w:hAnsi="Arial" w:cs="Arial"/>
        </w:rPr>
        <w:t xml:space="preserve">staff records </w:t>
      </w:r>
      <w:r w:rsidR="00BD4EB2">
        <w:rPr>
          <w:rFonts w:ascii="Arial" w:hAnsi="Arial" w:cs="Arial"/>
        </w:rPr>
        <w:t xml:space="preserve">or other business information </w:t>
      </w:r>
      <w:r w:rsidRPr="00141B44">
        <w:rPr>
          <w:rFonts w:ascii="Arial" w:hAnsi="Arial" w:cs="Arial"/>
        </w:rPr>
        <w:t xml:space="preserve">for </w:t>
      </w:r>
      <w:r w:rsidR="00BD4EB2">
        <w:rPr>
          <w:rFonts w:ascii="Arial" w:hAnsi="Arial" w:cs="Arial"/>
        </w:rPr>
        <w:t>work</w:t>
      </w:r>
      <w:r w:rsidRPr="00141B44">
        <w:rPr>
          <w:rFonts w:ascii="Arial" w:hAnsi="Arial" w:cs="Arial"/>
        </w:rPr>
        <w:t xml:space="preserve"> use only, this means for patients the management of their healthcare and their healthcare needs, if you have access to staff data for employment purposes only</w:t>
      </w:r>
      <w:r w:rsidR="00BD4EB2">
        <w:rPr>
          <w:rFonts w:ascii="Arial" w:hAnsi="Arial" w:cs="Arial"/>
        </w:rPr>
        <w:t>, and if you have access to it business confidential information (such as Finance data or private minutes) to complete our work duties.</w:t>
      </w:r>
    </w:p>
    <w:p w14:paraId="07993E10" w14:textId="77777777" w:rsidR="00BD4EB2" w:rsidRDefault="00BD4EB2" w:rsidP="0031507A">
      <w:pPr>
        <w:pStyle w:val="ListParagraph"/>
        <w:ind w:left="851"/>
        <w:rPr>
          <w:rFonts w:ascii="Arial" w:hAnsi="Arial" w:cs="Arial"/>
        </w:rPr>
      </w:pPr>
    </w:p>
    <w:p w14:paraId="2BFB1958" w14:textId="0D7CBCE5" w:rsidR="00141B44" w:rsidRPr="00141B44" w:rsidRDefault="00141B44" w:rsidP="0031507A">
      <w:pPr>
        <w:pStyle w:val="ListParagraph"/>
        <w:ind w:left="851"/>
        <w:rPr>
          <w:rFonts w:ascii="Arial" w:hAnsi="Arial" w:cs="Arial"/>
        </w:rPr>
      </w:pPr>
      <w:r w:rsidRPr="00141B44">
        <w:rPr>
          <w:rFonts w:ascii="Arial" w:hAnsi="Arial" w:cs="Arial"/>
        </w:rPr>
        <w:t>It is a breach of both the Data Protection legislation and common law duties of confidentiality to access any records for personal reasons.  This is especially important if you work in a</w:t>
      </w:r>
      <w:r w:rsidR="00BD4EB2">
        <w:rPr>
          <w:rFonts w:ascii="Arial" w:hAnsi="Arial" w:cs="Arial"/>
        </w:rPr>
        <w:t xml:space="preserve">n area </w:t>
      </w:r>
      <w:r w:rsidRPr="00141B44">
        <w:rPr>
          <w:rFonts w:ascii="Arial" w:hAnsi="Arial" w:cs="Arial"/>
        </w:rPr>
        <w:t xml:space="preserve">which </w:t>
      </w:r>
      <w:r w:rsidR="00BD4EB2">
        <w:rPr>
          <w:rFonts w:ascii="Arial" w:hAnsi="Arial" w:cs="Arial"/>
        </w:rPr>
        <w:t>may service a clinical need for</w:t>
      </w:r>
      <w:r w:rsidRPr="00141B44">
        <w:rPr>
          <w:rFonts w:ascii="Arial" w:hAnsi="Arial" w:cs="Arial"/>
        </w:rPr>
        <w:t xml:space="preserve"> family members </w:t>
      </w:r>
      <w:r w:rsidR="00BD4EB2">
        <w:rPr>
          <w:rFonts w:ascii="Arial" w:hAnsi="Arial" w:cs="Arial"/>
        </w:rPr>
        <w:t>or</w:t>
      </w:r>
      <w:r w:rsidRPr="00141B44">
        <w:rPr>
          <w:rFonts w:ascii="Arial" w:hAnsi="Arial" w:cs="Arial"/>
        </w:rPr>
        <w:t xml:space="preserve"> friends as patients, you </w:t>
      </w:r>
      <w:r w:rsidRPr="00AD1092">
        <w:rPr>
          <w:rFonts w:ascii="Arial" w:hAnsi="Arial" w:cs="Arial"/>
          <w:b/>
          <w:bCs/>
        </w:rPr>
        <w:t>ARE NOT</w:t>
      </w:r>
      <w:r w:rsidRPr="00141B44">
        <w:rPr>
          <w:rFonts w:ascii="Arial" w:hAnsi="Arial" w:cs="Arial"/>
        </w:rPr>
        <w:t xml:space="preserve"> allowed (even with the </w:t>
      </w:r>
      <w:r w:rsidR="00BD4EB2">
        <w:rPr>
          <w:rFonts w:ascii="Arial" w:hAnsi="Arial" w:cs="Arial"/>
        </w:rPr>
        <w:t>person's</w:t>
      </w:r>
      <w:r w:rsidRPr="00141B44">
        <w:rPr>
          <w:rFonts w:ascii="Arial" w:hAnsi="Arial" w:cs="Arial"/>
        </w:rPr>
        <w:t xml:space="preserve"> consent) to access family </w:t>
      </w:r>
      <w:r w:rsidR="00BD4EB2">
        <w:rPr>
          <w:rFonts w:ascii="Arial" w:hAnsi="Arial" w:cs="Arial"/>
        </w:rPr>
        <w:t>members'</w:t>
      </w:r>
      <w:r w:rsidRPr="00141B44">
        <w:rPr>
          <w:rFonts w:ascii="Arial" w:hAnsi="Arial" w:cs="Arial"/>
        </w:rPr>
        <w:t xml:space="preserve"> records or </w:t>
      </w:r>
      <w:r w:rsidR="00031A33" w:rsidRPr="00141B44">
        <w:rPr>
          <w:rFonts w:ascii="Arial" w:hAnsi="Arial" w:cs="Arial"/>
        </w:rPr>
        <w:t>friends’</w:t>
      </w:r>
      <w:r w:rsidRPr="00141B44">
        <w:rPr>
          <w:rFonts w:ascii="Arial" w:hAnsi="Arial" w:cs="Arial"/>
        </w:rPr>
        <w:t xml:space="preserve"> records unless you are doing it for practice work.  </w:t>
      </w:r>
      <w:r w:rsidR="00BD4EB2">
        <w:rPr>
          <w:rFonts w:ascii="Arial" w:hAnsi="Arial" w:cs="Arial"/>
        </w:rPr>
        <w:t>It</w:t>
      </w:r>
      <w:r w:rsidRPr="00141B44">
        <w:rPr>
          <w:rFonts w:ascii="Arial" w:hAnsi="Arial" w:cs="Arial"/>
        </w:rPr>
        <w:t xml:space="preserve"> would always be recommended to ask a colleague if possible to deal with family or friends when they attend or contact </w:t>
      </w:r>
      <w:r w:rsidR="00DD074A">
        <w:rPr>
          <w:rFonts w:ascii="Arial" w:hAnsi="Arial" w:cs="Arial"/>
        </w:rPr>
        <w:t>[FED Name]</w:t>
      </w:r>
      <w:r w:rsidRPr="00141B44">
        <w:rPr>
          <w:rFonts w:ascii="Arial" w:hAnsi="Arial" w:cs="Arial"/>
        </w:rPr>
        <w:t>, but in the absence of the ability to do this</w:t>
      </w:r>
      <w:r w:rsidR="00BD4EB2">
        <w:rPr>
          <w:rFonts w:ascii="Arial" w:hAnsi="Arial" w:cs="Arial"/>
        </w:rPr>
        <w:t>,</w:t>
      </w:r>
      <w:r w:rsidRPr="00141B44">
        <w:rPr>
          <w:rFonts w:ascii="Arial" w:hAnsi="Arial" w:cs="Arial"/>
        </w:rPr>
        <w:t xml:space="preserve"> you must only access their record if you have a legitimate reason for doing so.  Being nosey to check up on family or friends or “just looking” is a serious breach of law and your contract of employment terms which could lead to both dismissal and criminal investigation against you.</w:t>
      </w:r>
      <w:r w:rsidR="00BD4EB2">
        <w:rPr>
          <w:rFonts w:ascii="Arial" w:hAnsi="Arial" w:cs="Arial"/>
        </w:rPr>
        <w:t xml:space="preserve">  This equally applies to other employees' data that you may have access to or any other business confidential or commercially sensitive data.</w:t>
      </w:r>
    </w:p>
    <w:p w14:paraId="5C91BF2F" w14:textId="0CA514EF" w:rsidR="0031507A" w:rsidRDefault="0031507A" w:rsidP="0031507A">
      <w:pPr>
        <w:pStyle w:val="ListParagraph"/>
        <w:ind w:left="851"/>
        <w:rPr>
          <w:rFonts w:ascii="Arial" w:hAnsi="Arial" w:cs="Arial"/>
          <w:u w:val="single"/>
        </w:rPr>
      </w:pPr>
    </w:p>
    <w:p w14:paraId="3420D869" w14:textId="6B1B07D6" w:rsidR="0031507A" w:rsidRDefault="0031507A" w:rsidP="0031507A">
      <w:pPr>
        <w:pStyle w:val="ListParagraph"/>
        <w:ind w:left="851"/>
        <w:rPr>
          <w:rFonts w:ascii="Arial" w:hAnsi="Arial" w:cs="Arial"/>
          <w:u w:val="single"/>
        </w:rPr>
      </w:pPr>
    </w:p>
    <w:p w14:paraId="070898D4" w14:textId="212BA3B4" w:rsidR="0031507A" w:rsidRPr="00141B44" w:rsidRDefault="00141B44" w:rsidP="00141B44">
      <w:pPr>
        <w:pStyle w:val="ListParagraph"/>
        <w:numPr>
          <w:ilvl w:val="0"/>
          <w:numId w:val="15"/>
        </w:numPr>
        <w:rPr>
          <w:rFonts w:ascii="Arial" w:hAnsi="Arial" w:cs="Arial"/>
          <w:b/>
          <w:bCs/>
          <w:u w:val="single"/>
        </w:rPr>
      </w:pPr>
      <w:r w:rsidRPr="00141B44">
        <w:rPr>
          <w:rFonts w:ascii="Arial" w:hAnsi="Arial" w:cs="Arial"/>
          <w:b/>
          <w:bCs/>
          <w:u w:val="single"/>
        </w:rPr>
        <w:t>System Security</w:t>
      </w:r>
    </w:p>
    <w:p w14:paraId="2233E5E4" w14:textId="3C0729D4" w:rsidR="00141B44" w:rsidRDefault="00141B44" w:rsidP="0031507A">
      <w:pPr>
        <w:pStyle w:val="ListParagraph"/>
        <w:ind w:left="851"/>
        <w:rPr>
          <w:rFonts w:ascii="Arial" w:hAnsi="Arial" w:cs="Arial"/>
          <w:u w:val="single"/>
        </w:rPr>
      </w:pPr>
    </w:p>
    <w:p w14:paraId="766F3E51" w14:textId="1B1DE138" w:rsidR="00141B44" w:rsidRPr="00141B44" w:rsidRDefault="00141B44" w:rsidP="00141B44">
      <w:pPr>
        <w:pStyle w:val="ListParagraph"/>
        <w:ind w:left="851"/>
        <w:rPr>
          <w:rFonts w:ascii="Arial" w:hAnsi="Arial" w:cs="Arial"/>
        </w:rPr>
      </w:pPr>
      <w:r w:rsidRPr="00141B44">
        <w:rPr>
          <w:rFonts w:ascii="Arial" w:hAnsi="Arial" w:cs="Arial"/>
        </w:rPr>
        <w:t xml:space="preserve">You are </w:t>
      </w:r>
      <w:r w:rsidRPr="00AD1092">
        <w:rPr>
          <w:rFonts w:ascii="Arial" w:hAnsi="Arial" w:cs="Arial"/>
          <w:b/>
          <w:bCs/>
        </w:rPr>
        <w:t>NOT</w:t>
      </w:r>
      <w:r w:rsidRPr="00141B44">
        <w:rPr>
          <w:rFonts w:ascii="Arial" w:hAnsi="Arial" w:cs="Arial"/>
        </w:rPr>
        <w:t xml:space="preserve"> permitted to access any </w:t>
      </w:r>
      <w:r w:rsidR="00DD074A">
        <w:rPr>
          <w:rFonts w:ascii="Arial" w:hAnsi="Arial" w:cs="Arial"/>
        </w:rPr>
        <w:t>[FED Name]</w:t>
      </w:r>
      <w:r w:rsidR="00BD4EB2">
        <w:rPr>
          <w:rFonts w:ascii="Arial" w:hAnsi="Arial" w:cs="Arial"/>
        </w:rPr>
        <w:t xml:space="preserve"> (or its clients) </w:t>
      </w:r>
      <w:r w:rsidRPr="00141B44">
        <w:rPr>
          <w:rFonts w:ascii="Arial" w:hAnsi="Arial" w:cs="Arial"/>
        </w:rPr>
        <w:t xml:space="preserve">system using </w:t>
      </w:r>
      <w:r w:rsidR="00AD1092" w:rsidRPr="00141B44">
        <w:rPr>
          <w:rFonts w:ascii="Arial" w:hAnsi="Arial" w:cs="Arial"/>
        </w:rPr>
        <w:t>another person’s</w:t>
      </w:r>
      <w:r w:rsidRPr="00141B44">
        <w:rPr>
          <w:rFonts w:ascii="Arial" w:hAnsi="Arial" w:cs="Arial"/>
        </w:rPr>
        <w:t xml:space="preserve"> login details, and should never share passwords, accessing records using </w:t>
      </w:r>
      <w:r w:rsidR="00AD1092" w:rsidRPr="00141B44">
        <w:rPr>
          <w:rFonts w:ascii="Arial" w:hAnsi="Arial" w:cs="Arial"/>
        </w:rPr>
        <w:t>another person’s</w:t>
      </w:r>
      <w:r w:rsidRPr="00141B44">
        <w:rPr>
          <w:rFonts w:ascii="Arial" w:hAnsi="Arial" w:cs="Arial"/>
        </w:rPr>
        <w:t xml:space="preserve"> details is a breach of Data Protection law and the Computer Misuse Act 1990, which again is a serious breach of law and your contract of employment terms which could lead to both dismissal and criminal investigation against you.</w:t>
      </w:r>
    </w:p>
    <w:p w14:paraId="79DC8739" w14:textId="00812B85" w:rsidR="00141B44" w:rsidRDefault="00141B44" w:rsidP="0031507A">
      <w:pPr>
        <w:pStyle w:val="ListParagraph"/>
        <w:ind w:left="851"/>
        <w:rPr>
          <w:rFonts w:ascii="Arial" w:hAnsi="Arial" w:cs="Arial"/>
          <w:u w:val="single"/>
        </w:rPr>
      </w:pPr>
    </w:p>
    <w:p w14:paraId="58E3B0E5" w14:textId="51ABE06B" w:rsidR="0031507A" w:rsidRPr="00141B44" w:rsidRDefault="00141B44" w:rsidP="00141B44">
      <w:pPr>
        <w:pStyle w:val="ListParagraph"/>
        <w:numPr>
          <w:ilvl w:val="0"/>
          <w:numId w:val="15"/>
        </w:numPr>
        <w:rPr>
          <w:rFonts w:ascii="Arial" w:hAnsi="Arial" w:cs="Arial"/>
          <w:b/>
          <w:bCs/>
          <w:u w:val="single"/>
        </w:rPr>
      </w:pPr>
      <w:r w:rsidRPr="00141B44">
        <w:rPr>
          <w:rFonts w:ascii="Arial" w:hAnsi="Arial" w:cs="Arial"/>
          <w:b/>
          <w:bCs/>
          <w:u w:val="single"/>
        </w:rPr>
        <w:t>Basic Do’s and Don’t</w:t>
      </w:r>
    </w:p>
    <w:p w14:paraId="303948B7" w14:textId="20A76CF9" w:rsidR="0031507A" w:rsidRDefault="0031507A" w:rsidP="0031507A">
      <w:pPr>
        <w:pStyle w:val="ListParagraph"/>
        <w:ind w:left="851"/>
        <w:rPr>
          <w:rFonts w:ascii="Arial" w:hAnsi="Arial" w:cs="Arial"/>
          <w:u w:val="single"/>
        </w:rPr>
      </w:pPr>
    </w:p>
    <w:p w14:paraId="520C53CA" w14:textId="3DF7433A" w:rsidR="0031507A" w:rsidRDefault="0031507A" w:rsidP="0031507A">
      <w:pPr>
        <w:pStyle w:val="ListParagraph"/>
        <w:ind w:left="851"/>
        <w:rPr>
          <w:rFonts w:ascii="Arial" w:hAnsi="Arial" w:cs="Arial"/>
          <w:u w:val="single"/>
        </w:rPr>
      </w:pPr>
    </w:p>
    <w:p w14:paraId="35BB9F9B" w14:textId="77777777" w:rsidR="006A2CC3" w:rsidRPr="0031507A" w:rsidRDefault="00E905BB" w:rsidP="00141B44">
      <w:pPr>
        <w:pStyle w:val="ListParagraph"/>
        <w:numPr>
          <w:ilvl w:val="0"/>
          <w:numId w:val="5"/>
        </w:numPr>
        <w:ind w:left="1560"/>
        <w:rPr>
          <w:rFonts w:ascii="Arial" w:hAnsi="Arial" w:cs="Arial"/>
        </w:rPr>
      </w:pPr>
      <w:r w:rsidRPr="0031507A">
        <w:rPr>
          <w:rFonts w:ascii="Arial" w:hAnsi="Arial" w:cs="Arial"/>
          <w:u w:val="single"/>
        </w:rPr>
        <w:t>Do</w:t>
      </w:r>
      <w:r w:rsidRPr="0031507A">
        <w:rPr>
          <w:rFonts w:ascii="Arial" w:hAnsi="Arial" w:cs="Arial"/>
        </w:rPr>
        <w:t xml:space="preserve"> safeguard the confidentiality of all person-identifiable or confidential information that you come into contact with. This is a statutory obligation on everyone working on or behalf of NHS England.</w:t>
      </w:r>
    </w:p>
    <w:p w14:paraId="79E6E023" w14:textId="77777777" w:rsidR="006A2CC3" w:rsidRPr="0031507A" w:rsidRDefault="006A2CC3" w:rsidP="00141B44">
      <w:pPr>
        <w:pStyle w:val="ListParagraph"/>
        <w:ind w:left="1560"/>
        <w:rPr>
          <w:rFonts w:ascii="Arial" w:hAnsi="Arial" w:cs="Arial"/>
        </w:rPr>
      </w:pPr>
    </w:p>
    <w:p w14:paraId="29318EF6" w14:textId="77777777" w:rsidR="006A2CC3" w:rsidRPr="0031507A" w:rsidRDefault="00E905BB" w:rsidP="00141B44">
      <w:pPr>
        <w:pStyle w:val="ListParagraph"/>
        <w:numPr>
          <w:ilvl w:val="0"/>
          <w:numId w:val="5"/>
        </w:numPr>
        <w:ind w:left="1560"/>
        <w:rPr>
          <w:rFonts w:ascii="Arial" w:hAnsi="Arial" w:cs="Arial"/>
        </w:rPr>
      </w:pPr>
      <w:r w:rsidRPr="0031507A">
        <w:rPr>
          <w:rFonts w:ascii="Arial" w:hAnsi="Arial" w:cs="Arial"/>
          <w:u w:val="single"/>
        </w:rPr>
        <w:t>Do</w:t>
      </w:r>
      <w:r w:rsidRPr="0031507A">
        <w:rPr>
          <w:rFonts w:ascii="Arial" w:hAnsi="Arial" w:cs="Arial"/>
        </w:rPr>
        <w:t xml:space="preserve"> clear your desk at the end of each day, keeping all portable records containing person-identifiable or confidential information in recognised filing and storage places that are locked at times when access is not directly controlled or supervised.</w:t>
      </w:r>
    </w:p>
    <w:p w14:paraId="6D462ABD" w14:textId="77777777" w:rsidR="006A2CC3" w:rsidRPr="0031507A" w:rsidRDefault="006A2CC3" w:rsidP="00141B44">
      <w:pPr>
        <w:pStyle w:val="ListParagraph"/>
        <w:ind w:left="1560"/>
        <w:rPr>
          <w:rFonts w:ascii="Arial" w:hAnsi="Arial" w:cs="Arial"/>
          <w:u w:val="single"/>
        </w:rPr>
      </w:pPr>
    </w:p>
    <w:p w14:paraId="37E2776B" w14:textId="77777777" w:rsidR="006A2CC3" w:rsidRPr="0031507A" w:rsidRDefault="00E905BB" w:rsidP="00141B44">
      <w:pPr>
        <w:pStyle w:val="ListParagraph"/>
        <w:numPr>
          <w:ilvl w:val="0"/>
          <w:numId w:val="5"/>
        </w:numPr>
        <w:ind w:left="1560"/>
        <w:rPr>
          <w:rFonts w:ascii="Arial" w:hAnsi="Arial" w:cs="Arial"/>
        </w:rPr>
      </w:pPr>
      <w:r w:rsidRPr="0031507A">
        <w:rPr>
          <w:rFonts w:ascii="Arial" w:hAnsi="Arial" w:cs="Arial"/>
          <w:u w:val="single"/>
        </w:rPr>
        <w:t>Do</w:t>
      </w:r>
      <w:r w:rsidRPr="0031507A">
        <w:rPr>
          <w:rFonts w:ascii="Arial" w:hAnsi="Arial" w:cs="Arial"/>
        </w:rPr>
        <w:t xml:space="preserve"> switch off computers with access to person-identifiable or business confidential information, or put them into a password-protected mode, if you leave your desk for any </w:t>
      </w:r>
      <w:r w:rsidR="00D43BD0" w:rsidRPr="0031507A">
        <w:rPr>
          <w:rFonts w:ascii="Arial" w:hAnsi="Arial" w:cs="Arial"/>
        </w:rPr>
        <w:t>l</w:t>
      </w:r>
      <w:r w:rsidRPr="0031507A">
        <w:rPr>
          <w:rFonts w:ascii="Arial" w:hAnsi="Arial" w:cs="Arial"/>
        </w:rPr>
        <w:t>ength of time.</w:t>
      </w:r>
    </w:p>
    <w:p w14:paraId="060C06F0" w14:textId="77777777" w:rsidR="006A2CC3" w:rsidRPr="0031507A" w:rsidRDefault="006A2CC3" w:rsidP="00141B44">
      <w:pPr>
        <w:pStyle w:val="ListParagraph"/>
        <w:ind w:left="1560"/>
        <w:rPr>
          <w:rFonts w:ascii="Arial" w:hAnsi="Arial" w:cs="Arial"/>
        </w:rPr>
      </w:pPr>
    </w:p>
    <w:p w14:paraId="1672C81B" w14:textId="7DEB82FD" w:rsidR="006A2CC3" w:rsidRPr="0031507A" w:rsidRDefault="00E905BB" w:rsidP="00141B44">
      <w:pPr>
        <w:pStyle w:val="ListParagraph"/>
        <w:numPr>
          <w:ilvl w:val="0"/>
          <w:numId w:val="5"/>
        </w:numPr>
        <w:ind w:left="1560"/>
        <w:rPr>
          <w:rFonts w:ascii="Arial" w:hAnsi="Arial" w:cs="Arial"/>
        </w:rPr>
      </w:pPr>
      <w:r w:rsidRPr="0031507A">
        <w:rPr>
          <w:rFonts w:ascii="Arial" w:hAnsi="Arial" w:cs="Arial"/>
          <w:u w:val="single"/>
        </w:rPr>
        <w:t>Do</w:t>
      </w:r>
      <w:r w:rsidRPr="0031507A">
        <w:rPr>
          <w:rFonts w:ascii="Arial" w:hAnsi="Arial" w:cs="Arial"/>
        </w:rPr>
        <w:t xml:space="preserve"> ensure that you cannot be overheard when discussing </w:t>
      </w:r>
      <w:r w:rsidR="000637DC" w:rsidRPr="0031507A">
        <w:rPr>
          <w:rFonts w:ascii="Arial" w:hAnsi="Arial" w:cs="Arial"/>
        </w:rPr>
        <w:t xml:space="preserve">confidential matters. </w:t>
      </w:r>
    </w:p>
    <w:p w14:paraId="4C738003" w14:textId="77777777" w:rsidR="006A2CC3" w:rsidRPr="0031507A" w:rsidRDefault="006A2CC3" w:rsidP="00141B44">
      <w:pPr>
        <w:pStyle w:val="ListParagraph"/>
        <w:ind w:left="1560"/>
        <w:rPr>
          <w:rFonts w:ascii="Arial" w:hAnsi="Arial" w:cs="Arial"/>
          <w:u w:val="single"/>
        </w:rPr>
      </w:pPr>
    </w:p>
    <w:p w14:paraId="0602C285" w14:textId="77777777" w:rsidR="006A2CC3" w:rsidRPr="0031507A" w:rsidRDefault="00E905BB" w:rsidP="00141B44">
      <w:pPr>
        <w:pStyle w:val="ListParagraph"/>
        <w:numPr>
          <w:ilvl w:val="0"/>
          <w:numId w:val="5"/>
        </w:numPr>
        <w:ind w:left="1560"/>
        <w:rPr>
          <w:rFonts w:ascii="Arial" w:hAnsi="Arial" w:cs="Arial"/>
        </w:rPr>
      </w:pPr>
      <w:r w:rsidRPr="0031507A">
        <w:rPr>
          <w:rFonts w:ascii="Arial" w:hAnsi="Arial" w:cs="Arial"/>
          <w:u w:val="single"/>
        </w:rPr>
        <w:t>Do</w:t>
      </w:r>
      <w:r w:rsidRPr="0031507A">
        <w:rPr>
          <w:rFonts w:ascii="Arial" w:hAnsi="Arial" w:cs="Arial"/>
        </w:rPr>
        <w:t xml:space="preserve"> challenge and verify where necessary the identity of any person who is making a request for person-identifiable or confidential information and ensure they have a need to know.</w:t>
      </w:r>
    </w:p>
    <w:p w14:paraId="32ED0A1C" w14:textId="77777777" w:rsidR="006A2CC3" w:rsidRPr="0031507A" w:rsidRDefault="006A2CC3" w:rsidP="00141B44">
      <w:pPr>
        <w:pStyle w:val="ListParagraph"/>
        <w:ind w:left="1560"/>
        <w:rPr>
          <w:rFonts w:ascii="Arial" w:hAnsi="Arial" w:cs="Arial"/>
          <w:u w:val="single"/>
        </w:rPr>
      </w:pPr>
    </w:p>
    <w:p w14:paraId="4AA9AAF0" w14:textId="77777777" w:rsidR="006A2CC3" w:rsidRPr="0031507A" w:rsidRDefault="00E905BB" w:rsidP="00141B44">
      <w:pPr>
        <w:pStyle w:val="ListParagraph"/>
        <w:numPr>
          <w:ilvl w:val="0"/>
          <w:numId w:val="5"/>
        </w:numPr>
        <w:ind w:left="1560"/>
        <w:rPr>
          <w:rFonts w:ascii="Arial" w:hAnsi="Arial" w:cs="Arial"/>
        </w:rPr>
      </w:pPr>
      <w:r w:rsidRPr="0031507A">
        <w:rPr>
          <w:rFonts w:ascii="Arial" w:hAnsi="Arial" w:cs="Arial"/>
          <w:u w:val="single"/>
        </w:rPr>
        <w:t>Do</w:t>
      </w:r>
      <w:r w:rsidRPr="0031507A">
        <w:rPr>
          <w:rFonts w:ascii="Arial" w:hAnsi="Arial" w:cs="Arial"/>
        </w:rPr>
        <w:t xml:space="preserve"> share only the minimum information necessary. </w:t>
      </w:r>
    </w:p>
    <w:p w14:paraId="6A0FA010" w14:textId="77777777" w:rsidR="006A2CC3" w:rsidRPr="0031507A" w:rsidRDefault="006A2CC3" w:rsidP="00141B44">
      <w:pPr>
        <w:pStyle w:val="ListParagraph"/>
        <w:ind w:left="1560"/>
        <w:rPr>
          <w:rFonts w:ascii="Arial" w:hAnsi="Arial" w:cs="Arial"/>
          <w:u w:val="single"/>
        </w:rPr>
      </w:pPr>
    </w:p>
    <w:p w14:paraId="747C6EB6" w14:textId="49399B8F" w:rsidR="006A2CC3" w:rsidRPr="0031507A" w:rsidRDefault="00E905BB" w:rsidP="00141B44">
      <w:pPr>
        <w:pStyle w:val="ListParagraph"/>
        <w:numPr>
          <w:ilvl w:val="0"/>
          <w:numId w:val="5"/>
        </w:numPr>
        <w:ind w:left="1560"/>
        <w:rPr>
          <w:rFonts w:ascii="Arial" w:hAnsi="Arial" w:cs="Arial"/>
        </w:rPr>
      </w:pPr>
      <w:r w:rsidRPr="0031507A">
        <w:rPr>
          <w:rFonts w:ascii="Arial" w:hAnsi="Arial" w:cs="Arial"/>
          <w:u w:val="single"/>
        </w:rPr>
        <w:lastRenderedPageBreak/>
        <w:t>Do</w:t>
      </w:r>
      <w:r w:rsidRPr="0031507A">
        <w:rPr>
          <w:rFonts w:ascii="Arial" w:hAnsi="Arial" w:cs="Arial"/>
        </w:rPr>
        <w:t xml:space="preserve"> transfer person-identifiable or confidential information securely when </w:t>
      </w:r>
      <w:r w:rsidR="00BD4EB2" w:rsidRPr="0031507A">
        <w:rPr>
          <w:rFonts w:ascii="Arial" w:hAnsi="Arial" w:cs="Arial"/>
        </w:rPr>
        <w:t>necessary,</w:t>
      </w:r>
      <w:r w:rsidRPr="0031507A">
        <w:rPr>
          <w:rFonts w:ascii="Arial" w:hAnsi="Arial" w:cs="Arial"/>
        </w:rPr>
        <w:t xml:space="preserve"> i.e. use an nhs.net email account to send confidential information to another nhs.net email account or to a secure government domain e.g. gsi.gov.uk.</w:t>
      </w:r>
    </w:p>
    <w:p w14:paraId="64B02158" w14:textId="77777777" w:rsidR="006A2CC3" w:rsidRPr="0031507A" w:rsidRDefault="006A2CC3" w:rsidP="00141B44">
      <w:pPr>
        <w:pStyle w:val="ListParagraph"/>
        <w:ind w:left="1560"/>
        <w:rPr>
          <w:rFonts w:ascii="Arial" w:hAnsi="Arial" w:cs="Arial"/>
          <w:u w:val="single"/>
        </w:rPr>
      </w:pPr>
    </w:p>
    <w:p w14:paraId="53FC1618" w14:textId="610DEFE6" w:rsidR="006A2CC3" w:rsidRPr="0031507A" w:rsidRDefault="00E905BB" w:rsidP="00141B44">
      <w:pPr>
        <w:pStyle w:val="ListParagraph"/>
        <w:numPr>
          <w:ilvl w:val="0"/>
          <w:numId w:val="5"/>
        </w:numPr>
        <w:ind w:left="1560"/>
        <w:rPr>
          <w:rFonts w:ascii="Arial" w:hAnsi="Arial" w:cs="Arial"/>
        </w:rPr>
      </w:pPr>
      <w:r w:rsidRPr="0031507A">
        <w:rPr>
          <w:rFonts w:ascii="Arial" w:hAnsi="Arial" w:cs="Arial"/>
          <w:u w:val="single"/>
        </w:rPr>
        <w:t>Do</w:t>
      </w:r>
      <w:r w:rsidRPr="0031507A">
        <w:rPr>
          <w:rFonts w:ascii="Arial" w:hAnsi="Arial" w:cs="Arial"/>
        </w:rPr>
        <w:t xml:space="preserve"> seek advice if you need to share patient/person-identifiable information without the consent of the patient/identifiable person’s </w:t>
      </w:r>
      <w:r w:rsidR="0031507A" w:rsidRPr="0031507A">
        <w:rPr>
          <w:rFonts w:ascii="Arial" w:hAnsi="Arial" w:cs="Arial"/>
        </w:rPr>
        <w:t>consent and</w:t>
      </w:r>
      <w:r w:rsidRPr="0031507A">
        <w:rPr>
          <w:rFonts w:ascii="Arial" w:hAnsi="Arial" w:cs="Arial"/>
        </w:rPr>
        <w:t xml:space="preserve"> record the decision and any action taken.</w:t>
      </w:r>
    </w:p>
    <w:p w14:paraId="08E86A7E" w14:textId="77777777" w:rsidR="006A2CC3" w:rsidRPr="0031507A" w:rsidRDefault="006A2CC3" w:rsidP="00141B44">
      <w:pPr>
        <w:pStyle w:val="ListParagraph"/>
        <w:ind w:left="1560"/>
        <w:rPr>
          <w:rFonts w:ascii="Arial" w:hAnsi="Arial" w:cs="Arial"/>
          <w:u w:val="single"/>
        </w:rPr>
      </w:pPr>
    </w:p>
    <w:p w14:paraId="574A1A18" w14:textId="77777777" w:rsidR="006A2CC3" w:rsidRPr="0031507A" w:rsidRDefault="00E905BB" w:rsidP="00141B44">
      <w:pPr>
        <w:pStyle w:val="ListParagraph"/>
        <w:numPr>
          <w:ilvl w:val="0"/>
          <w:numId w:val="5"/>
        </w:numPr>
        <w:ind w:left="1560"/>
        <w:rPr>
          <w:rFonts w:ascii="Arial" w:hAnsi="Arial" w:cs="Arial"/>
        </w:rPr>
      </w:pPr>
      <w:r w:rsidRPr="0031507A">
        <w:rPr>
          <w:rFonts w:ascii="Arial" w:hAnsi="Arial" w:cs="Arial"/>
          <w:u w:val="single"/>
        </w:rPr>
        <w:t>Do</w:t>
      </w:r>
      <w:r w:rsidRPr="0031507A">
        <w:rPr>
          <w:rFonts w:ascii="Arial" w:hAnsi="Arial" w:cs="Arial"/>
        </w:rPr>
        <w:t xml:space="preserve"> report any actual or suspected breaches of confidentiality. </w:t>
      </w:r>
    </w:p>
    <w:p w14:paraId="50D7FF02" w14:textId="77777777" w:rsidR="006A2CC3" w:rsidRPr="0031507A" w:rsidRDefault="006A2CC3" w:rsidP="00141B44">
      <w:pPr>
        <w:pStyle w:val="ListParagraph"/>
        <w:ind w:left="1560"/>
        <w:rPr>
          <w:rFonts w:ascii="Arial" w:hAnsi="Arial" w:cs="Arial"/>
          <w:u w:val="single"/>
        </w:rPr>
      </w:pPr>
    </w:p>
    <w:p w14:paraId="095EC5F9" w14:textId="77777777" w:rsidR="006A2CC3" w:rsidRPr="0031507A" w:rsidRDefault="00E905BB" w:rsidP="00141B44">
      <w:pPr>
        <w:pStyle w:val="ListParagraph"/>
        <w:numPr>
          <w:ilvl w:val="0"/>
          <w:numId w:val="5"/>
        </w:numPr>
        <w:ind w:left="1560"/>
        <w:rPr>
          <w:rFonts w:ascii="Arial" w:hAnsi="Arial" w:cs="Arial"/>
        </w:rPr>
      </w:pPr>
      <w:r w:rsidRPr="0031507A">
        <w:rPr>
          <w:rFonts w:ascii="Arial" w:hAnsi="Arial" w:cs="Arial"/>
          <w:u w:val="single"/>
        </w:rPr>
        <w:t>Don’t</w:t>
      </w:r>
      <w:r w:rsidRPr="0031507A">
        <w:rPr>
          <w:rFonts w:ascii="Arial" w:hAnsi="Arial" w:cs="Arial"/>
        </w:rPr>
        <w:t xml:space="preserve"> share passwords or leave t</w:t>
      </w:r>
      <w:r w:rsidR="00D43BD0" w:rsidRPr="0031507A">
        <w:rPr>
          <w:rFonts w:ascii="Arial" w:hAnsi="Arial" w:cs="Arial"/>
        </w:rPr>
        <w:t xml:space="preserve">hem lying around for others to </w:t>
      </w:r>
      <w:r w:rsidRPr="0031507A">
        <w:rPr>
          <w:rFonts w:ascii="Arial" w:hAnsi="Arial" w:cs="Arial"/>
        </w:rPr>
        <w:t xml:space="preserve">see. </w:t>
      </w:r>
    </w:p>
    <w:p w14:paraId="13DD978F" w14:textId="77777777" w:rsidR="006A2CC3" w:rsidRPr="0031507A" w:rsidRDefault="006A2CC3" w:rsidP="00141B44">
      <w:pPr>
        <w:pStyle w:val="ListParagraph"/>
        <w:ind w:left="1560"/>
        <w:rPr>
          <w:rFonts w:ascii="Arial" w:hAnsi="Arial" w:cs="Arial"/>
          <w:u w:val="single"/>
        </w:rPr>
      </w:pPr>
    </w:p>
    <w:p w14:paraId="370C01F8" w14:textId="77777777" w:rsidR="006A2CC3" w:rsidRPr="0031507A" w:rsidRDefault="00E905BB" w:rsidP="00141B44">
      <w:pPr>
        <w:pStyle w:val="ListParagraph"/>
        <w:numPr>
          <w:ilvl w:val="0"/>
          <w:numId w:val="5"/>
        </w:numPr>
        <w:ind w:left="1560"/>
        <w:rPr>
          <w:rFonts w:ascii="Arial" w:hAnsi="Arial" w:cs="Arial"/>
        </w:rPr>
      </w:pPr>
      <w:r w:rsidRPr="0031507A">
        <w:rPr>
          <w:rFonts w:ascii="Arial" w:hAnsi="Arial" w:cs="Arial"/>
          <w:u w:val="single"/>
        </w:rPr>
        <w:t>Don’t</w:t>
      </w:r>
      <w:r w:rsidRPr="0031507A">
        <w:rPr>
          <w:rFonts w:ascii="Arial" w:hAnsi="Arial" w:cs="Arial"/>
        </w:rPr>
        <w:t xml:space="preserve"> share information without the consent of the person to which the information relat</w:t>
      </w:r>
      <w:r w:rsidR="00D43BD0" w:rsidRPr="0031507A">
        <w:rPr>
          <w:rFonts w:ascii="Arial" w:hAnsi="Arial" w:cs="Arial"/>
        </w:rPr>
        <w:t xml:space="preserve">es, unless there are statutory </w:t>
      </w:r>
      <w:r w:rsidRPr="0031507A">
        <w:rPr>
          <w:rFonts w:ascii="Arial" w:hAnsi="Arial" w:cs="Arial"/>
        </w:rPr>
        <w:t xml:space="preserve">grounds to do so. </w:t>
      </w:r>
    </w:p>
    <w:p w14:paraId="62B469B3" w14:textId="77777777" w:rsidR="006A2CC3" w:rsidRPr="0031507A" w:rsidRDefault="006A2CC3" w:rsidP="00141B44">
      <w:pPr>
        <w:pStyle w:val="ListParagraph"/>
        <w:ind w:left="1560"/>
        <w:rPr>
          <w:rFonts w:ascii="Arial" w:hAnsi="Arial" w:cs="Arial"/>
          <w:u w:val="single"/>
        </w:rPr>
      </w:pPr>
    </w:p>
    <w:p w14:paraId="3E47D35E" w14:textId="77777777" w:rsidR="006A2CC3" w:rsidRPr="0031507A" w:rsidRDefault="00E905BB" w:rsidP="00141B44">
      <w:pPr>
        <w:pStyle w:val="ListParagraph"/>
        <w:numPr>
          <w:ilvl w:val="0"/>
          <w:numId w:val="5"/>
        </w:numPr>
        <w:ind w:left="1560"/>
        <w:rPr>
          <w:rFonts w:ascii="Arial" w:hAnsi="Arial" w:cs="Arial"/>
        </w:rPr>
      </w:pPr>
      <w:r w:rsidRPr="0031507A">
        <w:rPr>
          <w:rFonts w:ascii="Arial" w:hAnsi="Arial" w:cs="Arial"/>
          <w:u w:val="single"/>
        </w:rPr>
        <w:t>Don’t</w:t>
      </w:r>
      <w:r w:rsidRPr="0031507A">
        <w:rPr>
          <w:rFonts w:ascii="Arial" w:hAnsi="Arial" w:cs="Arial"/>
        </w:rPr>
        <w:t xml:space="preserve"> use person-identifiable information unless absolutely necessary, anonymise the information where possible.</w:t>
      </w:r>
    </w:p>
    <w:p w14:paraId="648480BB" w14:textId="77777777" w:rsidR="006A2CC3" w:rsidRPr="0031507A" w:rsidRDefault="006A2CC3" w:rsidP="00141B44">
      <w:pPr>
        <w:pStyle w:val="ListParagraph"/>
        <w:ind w:left="1560"/>
        <w:rPr>
          <w:rFonts w:ascii="Arial" w:hAnsi="Arial" w:cs="Arial"/>
          <w:u w:val="single"/>
        </w:rPr>
      </w:pPr>
    </w:p>
    <w:p w14:paraId="4A4B7FFE" w14:textId="0D260E54" w:rsidR="00E905BB" w:rsidRDefault="00E905BB" w:rsidP="00141B44">
      <w:pPr>
        <w:pStyle w:val="ListParagraph"/>
        <w:numPr>
          <w:ilvl w:val="0"/>
          <w:numId w:val="5"/>
        </w:numPr>
        <w:ind w:left="1560"/>
        <w:rPr>
          <w:rFonts w:ascii="Arial" w:hAnsi="Arial" w:cs="Arial"/>
        </w:rPr>
      </w:pPr>
      <w:r w:rsidRPr="0031507A">
        <w:rPr>
          <w:rFonts w:ascii="Arial" w:hAnsi="Arial" w:cs="Arial"/>
          <w:u w:val="single"/>
        </w:rPr>
        <w:t>Don’t</w:t>
      </w:r>
      <w:r w:rsidRPr="0031507A">
        <w:rPr>
          <w:rFonts w:ascii="Arial" w:hAnsi="Arial" w:cs="Arial"/>
        </w:rPr>
        <w:t xml:space="preserve"> collect, hold or process m</w:t>
      </w:r>
      <w:r w:rsidR="00D43BD0" w:rsidRPr="0031507A">
        <w:rPr>
          <w:rFonts w:ascii="Arial" w:hAnsi="Arial" w:cs="Arial"/>
        </w:rPr>
        <w:t xml:space="preserve">ore information than you need, </w:t>
      </w:r>
      <w:r w:rsidRPr="0031507A">
        <w:rPr>
          <w:rFonts w:ascii="Arial" w:hAnsi="Arial" w:cs="Arial"/>
        </w:rPr>
        <w:t>and do not keep it for longer than necessary.</w:t>
      </w:r>
    </w:p>
    <w:p w14:paraId="106CB096" w14:textId="77777777" w:rsidR="00141B44" w:rsidRPr="00141B44" w:rsidRDefault="00141B44" w:rsidP="00141B44">
      <w:pPr>
        <w:pStyle w:val="ListParagraph"/>
        <w:rPr>
          <w:rFonts w:ascii="Arial" w:hAnsi="Arial" w:cs="Arial"/>
        </w:rPr>
      </w:pPr>
    </w:p>
    <w:p w14:paraId="6EE30624" w14:textId="77777777" w:rsidR="00141B44" w:rsidRPr="00141B44" w:rsidRDefault="00141B44" w:rsidP="00141B44">
      <w:pPr>
        <w:pStyle w:val="ListParagraph"/>
        <w:widowControl w:val="0"/>
        <w:numPr>
          <w:ilvl w:val="0"/>
          <w:numId w:val="15"/>
        </w:numPr>
        <w:autoSpaceDE w:val="0"/>
        <w:autoSpaceDN w:val="0"/>
        <w:adjustRightInd w:val="0"/>
        <w:spacing w:after="0" w:line="240" w:lineRule="auto"/>
        <w:contextualSpacing w:val="0"/>
        <w:rPr>
          <w:rFonts w:ascii="Arial" w:hAnsi="Arial" w:cs="Arial"/>
          <w:b/>
          <w:bCs/>
          <w:color w:val="000000" w:themeColor="text1"/>
          <w:u w:val="single"/>
        </w:rPr>
      </w:pPr>
      <w:r w:rsidRPr="00141B44">
        <w:rPr>
          <w:rFonts w:ascii="Arial" w:hAnsi="Arial" w:cs="Arial"/>
          <w:b/>
          <w:bCs/>
          <w:color w:val="000000" w:themeColor="text1"/>
          <w:u w:val="single"/>
        </w:rPr>
        <w:t>Equality and Diversity</w:t>
      </w:r>
    </w:p>
    <w:p w14:paraId="166F78AF" w14:textId="77777777" w:rsidR="00141B44" w:rsidRPr="00141B44" w:rsidRDefault="00141B44" w:rsidP="00141B44">
      <w:pPr>
        <w:adjustRightInd w:val="0"/>
        <w:ind w:left="851"/>
        <w:rPr>
          <w:rFonts w:ascii="Arial" w:hAnsi="Arial" w:cs="Arial"/>
          <w:b/>
          <w:bCs/>
          <w:color w:val="000000" w:themeColor="text1"/>
        </w:rPr>
      </w:pPr>
    </w:p>
    <w:p w14:paraId="4D7590BD" w14:textId="6EA498CB" w:rsidR="00141B44" w:rsidRPr="00141B44" w:rsidRDefault="00DD074A" w:rsidP="00141B44">
      <w:pPr>
        <w:ind w:left="851"/>
        <w:rPr>
          <w:rFonts w:ascii="Arial" w:hAnsi="Arial" w:cs="Arial"/>
          <w:color w:val="000000" w:themeColor="text1"/>
        </w:rPr>
      </w:pPr>
      <w:r>
        <w:rPr>
          <w:rFonts w:ascii="Arial" w:hAnsi="Arial" w:cs="Arial"/>
          <w:color w:val="000000" w:themeColor="text1"/>
        </w:rPr>
        <w:t>[FED Name]</w:t>
      </w:r>
      <w:r w:rsidR="00BD4EB2">
        <w:rPr>
          <w:rFonts w:ascii="Arial" w:hAnsi="Arial" w:cs="Arial"/>
          <w:color w:val="000000" w:themeColor="text1"/>
        </w:rPr>
        <w:t xml:space="preserve"> </w:t>
      </w:r>
      <w:r w:rsidR="00141B44" w:rsidRPr="00141B44">
        <w:rPr>
          <w:rFonts w:ascii="Arial" w:hAnsi="Arial" w:cs="Arial"/>
          <w:color w:val="000000" w:themeColor="text1"/>
        </w:rPr>
        <w:t xml:space="preserve">aims to design and implement </w:t>
      </w:r>
      <w:r w:rsidR="00141B44">
        <w:rPr>
          <w:rFonts w:ascii="Arial" w:hAnsi="Arial" w:cs="Arial"/>
          <w:color w:val="000000" w:themeColor="text1"/>
        </w:rPr>
        <w:t>Guidance</w:t>
      </w:r>
      <w:r w:rsidR="00141B44" w:rsidRPr="00141B44">
        <w:rPr>
          <w:rFonts w:ascii="Arial" w:hAnsi="Arial" w:cs="Arial"/>
          <w:color w:val="000000" w:themeColor="text1"/>
        </w:rPr>
        <w:t xml:space="preserve"> documents that meet the diverse needs of the services, population and workforce, ensuring that none are placed at a disadvantage over others. It considers current UK legislative requirements, including the Equality Act 2010 and the Human Rights Act 1998, and promotes equal opportunities for all. </w:t>
      </w:r>
    </w:p>
    <w:p w14:paraId="22F02407" w14:textId="65441BF8" w:rsidR="00141B44" w:rsidRPr="00141B44" w:rsidRDefault="00141B44" w:rsidP="00141B44">
      <w:pPr>
        <w:ind w:left="851"/>
        <w:rPr>
          <w:rFonts w:ascii="Arial" w:hAnsi="Arial" w:cs="Arial"/>
          <w:color w:val="000000" w:themeColor="text1"/>
        </w:rPr>
      </w:pPr>
      <w:r w:rsidRPr="00141B44">
        <w:rPr>
          <w:rFonts w:ascii="Arial" w:hAnsi="Arial" w:cs="Arial"/>
          <w:color w:val="000000" w:themeColor="text1"/>
        </w:rPr>
        <w:t xml:space="preserve">This document has been designed to ensure that no-one receives less favourable treatment due to their personal circumstances, </w:t>
      </w:r>
      <w:r w:rsidR="00D56D0B" w:rsidRPr="00141B44">
        <w:rPr>
          <w:rFonts w:ascii="Arial" w:hAnsi="Arial" w:cs="Arial"/>
          <w:color w:val="000000" w:themeColor="text1"/>
        </w:rPr>
        <w:t>i.e.,</w:t>
      </w:r>
      <w:r w:rsidRPr="00141B44">
        <w:rPr>
          <w:rFonts w:ascii="Arial" w:hAnsi="Arial" w:cs="Arial"/>
          <w:color w:val="000000" w:themeColor="text1"/>
        </w:rPr>
        <w:t xml:space="preserve"> the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0FF166E1" w14:textId="6828D6D0" w:rsidR="00141B44" w:rsidRPr="00141B44" w:rsidRDefault="00141B44" w:rsidP="00141B44">
      <w:pPr>
        <w:ind w:left="851"/>
        <w:rPr>
          <w:rFonts w:ascii="Arial" w:hAnsi="Arial" w:cs="Arial"/>
          <w:color w:val="000000" w:themeColor="text1"/>
        </w:rPr>
      </w:pPr>
      <w:r w:rsidRPr="00141B44">
        <w:rPr>
          <w:rFonts w:ascii="Arial" w:hAnsi="Arial" w:cs="Arial"/>
          <w:color w:val="000000" w:themeColor="text1"/>
        </w:rPr>
        <w:t xml:space="preserve">In carrying out its functions, </w:t>
      </w:r>
      <w:r w:rsidR="00DD074A">
        <w:rPr>
          <w:rFonts w:ascii="Arial" w:hAnsi="Arial" w:cs="Arial"/>
          <w:color w:val="000000" w:themeColor="text1"/>
        </w:rPr>
        <w:t>[FED Name]</w:t>
      </w:r>
      <w:r w:rsidRPr="00141B44">
        <w:rPr>
          <w:rFonts w:ascii="Arial" w:hAnsi="Arial" w:cs="Arial"/>
          <w:color w:val="000000" w:themeColor="text1"/>
        </w:rPr>
        <w:t xml:space="preserve"> must have due regard to the Public-Sector Equality Duty (PSED). This applies to all the activities for which </w:t>
      </w:r>
      <w:r w:rsidR="00DD074A">
        <w:rPr>
          <w:rFonts w:ascii="Arial" w:hAnsi="Arial" w:cs="Arial"/>
          <w:color w:val="000000" w:themeColor="text1"/>
        </w:rPr>
        <w:t>[FED Name]</w:t>
      </w:r>
      <w:r w:rsidRPr="00141B44">
        <w:rPr>
          <w:rFonts w:ascii="Arial" w:hAnsi="Arial" w:cs="Arial"/>
          <w:color w:val="000000" w:themeColor="text1"/>
        </w:rPr>
        <w:t xml:space="preserve"> is responsible, including </w:t>
      </w:r>
      <w:r>
        <w:rPr>
          <w:rFonts w:ascii="Arial" w:hAnsi="Arial" w:cs="Arial"/>
          <w:color w:val="000000" w:themeColor="text1"/>
        </w:rPr>
        <w:t>Guidance</w:t>
      </w:r>
      <w:r w:rsidRPr="00141B44">
        <w:rPr>
          <w:rFonts w:ascii="Arial" w:hAnsi="Arial" w:cs="Arial"/>
          <w:color w:val="000000" w:themeColor="text1"/>
        </w:rPr>
        <w:t xml:space="preserve"> development, review and implementation. </w:t>
      </w:r>
      <w:r w:rsidRPr="00141B44">
        <w:rPr>
          <w:rFonts w:ascii="Arial" w:hAnsi="Arial" w:cs="Arial"/>
          <w:color w:val="000000" w:themeColor="text1"/>
        </w:rPr>
        <w:cr/>
      </w:r>
    </w:p>
    <w:p w14:paraId="34D08E7B" w14:textId="77777777" w:rsidR="00141B44" w:rsidRPr="00141B44" w:rsidRDefault="00141B44" w:rsidP="00141B44">
      <w:pPr>
        <w:pStyle w:val="ListParagraph"/>
        <w:widowControl w:val="0"/>
        <w:numPr>
          <w:ilvl w:val="0"/>
          <w:numId w:val="15"/>
        </w:numPr>
        <w:autoSpaceDE w:val="0"/>
        <w:autoSpaceDN w:val="0"/>
        <w:spacing w:after="0" w:line="240" w:lineRule="auto"/>
        <w:rPr>
          <w:rFonts w:ascii="Arial" w:hAnsi="Arial" w:cs="Arial"/>
          <w:b/>
          <w:bCs/>
          <w:color w:val="000000" w:themeColor="text1"/>
          <w:u w:val="single"/>
        </w:rPr>
      </w:pPr>
      <w:r w:rsidRPr="00141B44">
        <w:rPr>
          <w:rFonts w:ascii="Arial" w:hAnsi="Arial" w:cs="Arial"/>
          <w:b/>
          <w:bCs/>
          <w:color w:val="000000" w:themeColor="text1"/>
          <w:u w:val="single"/>
        </w:rPr>
        <w:t>Due Regard</w:t>
      </w:r>
    </w:p>
    <w:p w14:paraId="3FF6E45E" w14:textId="77777777" w:rsidR="00141B44" w:rsidRPr="00141B44" w:rsidRDefault="00141B44" w:rsidP="00141B44">
      <w:pPr>
        <w:ind w:left="851"/>
        <w:rPr>
          <w:rFonts w:ascii="Arial" w:hAnsi="Arial" w:cs="Arial"/>
          <w:color w:val="000000" w:themeColor="text1"/>
        </w:rPr>
      </w:pPr>
    </w:p>
    <w:p w14:paraId="7DA3C243" w14:textId="6ED68D12" w:rsidR="00141B44" w:rsidRPr="00141B44" w:rsidRDefault="00141B44" w:rsidP="00141B44">
      <w:pPr>
        <w:ind w:left="851"/>
        <w:rPr>
          <w:rFonts w:ascii="Arial" w:hAnsi="Arial" w:cs="Arial"/>
          <w:color w:val="000000" w:themeColor="text1"/>
        </w:rPr>
      </w:pPr>
      <w:r w:rsidRPr="00141B44">
        <w:rPr>
          <w:rFonts w:ascii="Arial" w:hAnsi="Arial" w:cs="Arial"/>
          <w:color w:val="000000" w:themeColor="text1"/>
        </w:rPr>
        <w:t xml:space="preserve">This </w:t>
      </w:r>
      <w:r>
        <w:rPr>
          <w:rFonts w:ascii="Arial" w:hAnsi="Arial" w:cs="Arial"/>
          <w:color w:val="000000" w:themeColor="text1"/>
        </w:rPr>
        <w:t>Guidance</w:t>
      </w:r>
      <w:r w:rsidRPr="00141B44">
        <w:rPr>
          <w:rFonts w:ascii="Arial" w:hAnsi="Arial" w:cs="Arial"/>
          <w:color w:val="000000" w:themeColor="text1"/>
        </w:rPr>
        <w:t xml:space="preserve"> has been reviewed in relation to having due regard to the Public-Sector Equality Duty (PSED) of the Equality Act 2010 to eliminate discrimination, harassment, victimisation; to advance equality of opportunity; and foster good relations.</w:t>
      </w:r>
    </w:p>
    <w:p w14:paraId="0E60758F" w14:textId="77777777" w:rsidR="00141B44" w:rsidRPr="00141B44" w:rsidRDefault="00141B44" w:rsidP="00141B44">
      <w:pPr>
        <w:adjustRightInd w:val="0"/>
        <w:ind w:left="851" w:hanging="709"/>
        <w:rPr>
          <w:rFonts w:ascii="Arial" w:hAnsi="Arial" w:cs="Arial"/>
          <w:b/>
          <w:bCs/>
          <w:color w:val="000000" w:themeColor="text1"/>
        </w:rPr>
      </w:pPr>
    </w:p>
    <w:p w14:paraId="258AB41C" w14:textId="77777777" w:rsidR="00141B44" w:rsidRPr="00141B44" w:rsidRDefault="00141B44" w:rsidP="00141B44">
      <w:pPr>
        <w:ind w:left="851"/>
        <w:rPr>
          <w:rFonts w:ascii="Arial" w:hAnsi="Arial" w:cs="Arial"/>
          <w:b/>
          <w:bCs/>
          <w:color w:val="000000" w:themeColor="text1"/>
        </w:rPr>
      </w:pPr>
      <w:r w:rsidRPr="00141B44">
        <w:rPr>
          <w:rFonts w:ascii="Arial" w:hAnsi="Arial" w:cs="Arial"/>
          <w:b/>
          <w:bCs/>
          <w:color w:val="000000" w:themeColor="text1"/>
        </w:rPr>
        <w:br w:type="page"/>
      </w:r>
    </w:p>
    <w:p w14:paraId="552C62BF" w14:textId="77777777" w:rsidR="00141B44" w:rsidRPr="00141B44" w:rsidRDefault="00141B44" w:rsidP="00141B44">
      <w:pPr>
        <w:ind w:left="851"/>
        <w:rPr>
          <w:rFonts w:ascii="Arial" w:hAnsi="Arial" w:cs="Arial"/>
          <w:b/>
          <w:bCs/>
          <w:color w:val="000000" w:themeColor="text1"/>
        </w:rPr>
      </w:pPr>
    </w:p>
    <w:p w14:paraId="22D52BA8" w14:textId="77777777" w:rsidR="00141B44" w:rsidRPr="00141B44" w:rsidRDefault="00141B44" w:rsidP="00141B44">
      <w:pPr>
        <w:pStyle w:val="ListParagraph"/>
        <w:widowControl w:val="0"/>
        <w:numPr>
          <w:ilvl w:val="0"/>
          <w:numId w:val="15"/>
        </w:numPr>
        <w:autoSpaceDE w:val="0"/>
        <w:autoSpaceDN w:val="0"/>
        <w:spacing w:after="0" w:line="240" w:lineRule="auto"/>
        <w:contextualSpacing w:val="0"/>
        <w:rPr>
          <w:rFonts w:ascii="Arial" w:hAnsi="Arial" w:cs="Arial"/>
          <w:b/>
          <w:bCs/>
          <w:color w:val="000000" w:themeColor="text1"/>
          <w:u w:val="single"/>
        </w:rPr>
      </w:pPr>
      <w:r w:rsidRPr="00141B44">
        <w:rPr>
          <w:rFonts w:ascii="Arial" w:hAnsi="Arial" w:cs="Arial"/>
          <w:b/>
          <w:bCs/>
          <w:color w:val="000000" w:themeColor="text1"/>
          <w:u w:val="single"/>
        </w:rPr>
        <w:t>Review and Monitoring</w:t>
      </w:r>
    </w:p>
    <w:p w14:paraId="66F87F94" w14:textId="77777777" w:rsidR="00141B44" w:rsidRPr="00141B44" w:rsidRDefault="00141B44" w:rsidP="00141B44">
      <w:pPr>
        <w:ind w:left="851"/>
        <w:rPr>
          <w:rFonts w:ascii="Arial" w:hAnsi="Arial" w:cs="Arial"/>
          <w:b/>
          <w:bCs/>
          <w:color w:val="000000" w:themeColor="text1"/>
        </w:rPr>
      </w:pPr>
    </w:p>
    <w:p w14:paraId="66434FC4" w14:textId="0F58E06A" w:rsidR="00141B44" w:rsidRPr="00141B44" w:rsidRDefault="00DD074A" w:rsidP="00141B44">
      <w:pPr>
        <w:ind w:left="851"/>
        <w:rPr>
          <w:rFonts w:ascii="Arial" w:hAnsi="Arial" w:cs="Arial"/>
          <w:color w:val="000000" w:themeColor="text1"/>
        </w:rPr>
      </w:pPr>
      <w:r>
        <w:rPr>
          <w:rFonts w:ascii="Arial" w:hAnsi="Arial" w:cs="Arial"/>
          <w:color w:val="000000" w:themeColor="text1"/>
        </w:rPr>
        <w:t xml:space="preserve">[FED Name] </w:t>
      </w:r>
      <w:r w:rsidR="00141B44" w:rsidRPr="00141B44">
        <w:rPr>
          <w:rFonts w:ascii="Arial" w:hAnsi="Arial" w:cs="Arial"/>
          <w:color w:val="000000" w:themeColor="text1"/>
        </w:rPr>
        <w:t xml:space="preserve">Manager is responsible for regular monitoring of the quality of records and documentation and managers should periodically undertake quality control checks to ensure that the standards as detailed in this </w:t>
      </w:r>
      <w:r w:rsidR="00141B44">
        <w:rPr>
          <w:rFonts w:ascii="Arial" w:hAnsi="Arial" w:cs="Arial"/>
          <w:color w:val="000000" w:themeColor="text1"/>
        </w:rPr>
        <w:t>Guidance</w:t>
      </w:r>
      <w:r w:rsidR="00141B44" w:rsidRPr="00141B44">
        <w:rPr>
          <w:rFonts w:ascii="Arial" w:hAnsi="Arial" w:cs="Arial"/>
          <w:color w:val="000000" w:themeColor="text1"/>
        </w:rPr>
        <w:t xml:space="preserve"> are maintained.</w:t>
      </w:r>
    </w:p>
    <w:p w14:paraId="30179958" w14:textId="6BFD9B26" w:rsidR="00141B44" w:rsidRPr="00141B44" w:rsidRDefault="00141B44" w:rsidP="00141B44">
      <w:pPr>
        <w:ind w:left="851"/>
        <w:rPr>
          <w:rFonts w:ascii="Arial" w:hAnsi="Arial" w:cs="Arial"/>
          <w:color w:val="000000" w:themeColor="text1"/>
        </w:rPr>
      </w:pPr>
      <w:r w:rsidRPr="00141B44">
        <w:rPr>
          <w:rFonts w:ascii="Arial" w:hAnsi="Arial" w:cs="Arial"/>
          <w:color w:val="000000" w:themeColor="text1"/>
        </w:rPr>
        <w:t xml:space="preserve">This </w:t>
      </w:r>
      <w:r>
        <w:rPr>
          <w:rFonts w:ascii="Arial" w:hAnsi="Arial" w:cs="Arial"/>
          <w:color w:val="000000" w:themeColor="text1"/>
        </w:rPr>
        <w:t>Guidance</w:t>
      </w:r>
      <w:r w:rsidRPr="00141B44">
        <w:rPr>
          <w:rFonts w:ascii="Arial" w:hAnsi="Arial" w:cs="Arial"/>
          <w:color w:val="000000" w:themeColor="text1"/>
        </w:rPr>
        <w:t xml:space="preserve"> will be reviewed every two years unless new legislation, codes of practice or national standards are introduced.</w:t>
      </w:r>
    </w:p>
    <w:p w14:paraId="14628D34" w14:textId="77777777" w:rsidR="00141B44" w:rsidRPr="00141B44" w:rsidRDefault="00141B44" w:rsidP="00141B44">
      <w:pPr>
        <w:ind w:left="851" w:hanging="709"/>
        <w:rPr>
          <w:rFonts w:ascii="Arial" w:hAnsi="Arial" w:cs="Arial"/>
          <w:color w:val="000000" w:themeColor="text1"/>
        </w:rPr>
      </w:pPr>
    </w:p>
    <w:p w14:paraId="23CFBB44" w14:textId="77777777" w:rsidR="00141B44" w:rsidRPr="00370923" w:rsidRDefault="00141B44" w:rsidP="00141B44">
      <w:pPr>
        <w:pStyle w:val="BodyText"/>
        <w:ind w:left="851"/>
        <w:rPr>
          <w:color w:val="000000" w:themeColor="text1"/>
          <w:sz w:val="20"/>
        </w:rPr>
      </w:pPr>
    </w:p>
    <w:p w14:paraId="08005940" w14:textId="77777777" w:rsidR="00141B44" w:rsidRPr="00141B44" w:rsidRDefault="00141B44" w:rsidP="00141B44">
      <w:pPr>
        <w:ind w:left="851"/>
        <w:rPr>
          <w:rFonts w:ascii="Arial" w:hAnsi="Arial" w:cs="Arial"/>
        </w:rPr>
      </w:pPr>
    </w:p>
    <w:sectPr w:rsidR="00141B44" w:rsidRPr="00141B44" w:rsidSect="00D43B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D66EC"/>
    <w:multiLevelType w:val="hybridMultilevel"/>
    <w:tmpl w:val="5018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D214C"/>
    <w:multiLevelType w:val="hybridMultilevel"/>
    <w:tmpl w:val="48B01B08"/>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2" w15:restartNumberingAfterBreak="0">
    <w:nsid w:val="226C4730"/>
    <w:multiLevelType w:val="hybridMultilevel"/>
    <w:tmpl w:val="7B68A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0D3DC1"/>
    <w:multiLevelType w:val="hybridMultilevel"/>
    <w:tmpl w:val="2CE24F4A"/>
    <w:lvl w:ilvl="0" w:tplc="B052E1AA">
      <w:start w:val="1"/>
      <w:numFmt w:val="decimal"/>
      <w:lvlText w:val="%1."/>
      <w:lvlJc w:val="left"/>
      <w:pPr>
        <w:ind w:left="268" w:hanging="268"/>
        <w:jc w:val="right"/>
      </w:pPr>
      <w:rPr>
        <w:rFonts w:ascii="Arial" w:eastAsia="Arial" w:hAnsi="Arial" w:cs="Arial" w:hint="default"/>
        <w:b/>
        <w:bCs/>
        <w:spacing w:val="-2"/>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E3CB6"/>
    <w:multiLevelType w:val="hybridMultilevel"/>
    <w:tmpl w:val="C022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058E1"/>
    <w:multiLevelType w:val="hybridMultilevel"/>
    <w:tmpl w:val="1588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06484"/>
    <w:multiLevelType w:val="hybridMultilevel"/>
    <w:tmpl w:val="CD3A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C29D1"/>
    <w:multiLevelType w:val="multilevel"/>
    <w:tmpl w:val="D574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C13C3"/>
    <w:multiLevelType w:val="hybridMultilevel"/>
    <w:tmpl w:val="CBF2ACB2"/>
    <w:lvl w:ilvl="0" w:tplc="98240A5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22753D"/>
    <w:multiLevelType w:val="multilevel"/>
    <w:tmpl w:val="CE0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55559"/>
    <w:multiLevelType w:val="multilevel"/>
    <w:tmpl w:val="DAA4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A7F48"/>
    <w:multiLevelType w:val="hybridMultilevel"/>
    <w:tmpl w:val="84762CC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4ED57DDF"/>
    <w:multiLevelType w:val="hybridMultilevel"/>
    <w:tmpl w:val="EB886DEA"/>
    <w:lvl w:ilvl="0" w:tplc="98240A58">
      <w:numFmt w:val="bullet"/>
      <w:lvlText w:val="•"/>
      <w:lvlJc w:val="left"/>
      <w:pPr>
        <w:ind w:left="927" w:hanging="360"/>
      </w:pPr>
      <w:rPr>
        <w:rFonts w:ascii="Calibri" w:eastAsiaTheme="minorHAnsi" w:hAnsi="Calibri"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F0C46D5"/>
    <w:multiLevelType w:val="hybridMultilevel"/>
    <w:tmpl w:val="420A0E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4375C78"/>
    <w:multiLevelType w:val="hybridMultilevel"/>
    <w:tmpl w:val="6BEA519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70720E2C"/>
    <w:multiLevelType w:val="hybridMultilevel"/>
    <w:tmpl w:val="A01865DC"/>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num w:numId="1" w16cid:durableId="1412893370">
    <w:abstractNumId w:val="4"/>
  </w:num>
  <w:num w:numId="2" w16cid:durableId="1521511147">
    <w:abstractNumId w:val="5"/>
  </w:num>
  <w:num w:numId="3" w16cid:durableId="475293205">
    <w:abstractNumId w:val="12"/>
  </w:num>
  <w:num w:numId="4" w16cid:durableId="1341619360">
    <w:abstractNumId w:val="2"/>
  </w:num>
  <w:num w:numId="5" w16cid:durableId="1963417174">
    <w:abstractNumId w:val="8"/>
  </w:num>
  <w:num w:numId="6" w16cid:durableId="35396208">
    <w:abstractNumId w:val="9"/>
  </w:num>
  <w:num w:numId="7" w16cid:durableId="221212919">
    <w:abstractNumId w:val="10"/>
  </w:num>
  <w:num w:numId="8" w16cid:durableId="23291883">
    <w:abstractNumId w:val="7"/>
  </w:num>
  <w:num w:numId="9" w16cid:durableId="2106880746">
    <w:abstractNumId w:val="1"/>
  </w:num>
  <w:num w:numId="10" w16cid:durableId="1555895578">
    <w:abstractNumId w:val="14"/>
  </w:num>
  <w:num w:numId="11" w16cid:durableId="131754523">
    <w:abstractNumId w:val="0"/>
  </w:num>
  <w:num w:numId="12" w16cid:durableId="251738694">
    <w:abstractNumId w:val="15"/>
  </w:num>
  <w:num w:numId="13" w16cid:durableId="809321141">
    <w:abstractNumId w:val="6"/>
  </w:num>
  <w:num w:numId="14" w16cid:durableId="856887533">
    <w:abstractNumId w:val="11"/>
  </w:num>
  <w:num w:numId="15" w16cid:durableId="282349375">
    <w:abstractNumId w:val="13"/>
  </w:num>
  <w:num w:numId="16" w16cid:durableId="1766533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zBxKGZgYm5uYWZko6SsGpxcWZ+XkgBYa1AF3XX2YsAAAA"/>
  </w:docVars>
  <w:rsids>
    <w:rsidRoot w:val="00E905BB"/>
    <w:rsid w:val="00031A33"/>
    <w:rsid w:val="000637DC"/>
    <w:rsid w:val="000B19F4"/>
    <w:rsid w:val="00141B44"/>
    <w:rsid w:val="00200883"/>
    <w:rsid w:val="00244711"/>
    <w:rsid w:val="0031507A"/>
    <w:rsid w:val="003F0B4B"/>
    <w:rsid w:val="00503C33"/>
    <w:rsid w:val="005057C1"/>
    <w:rsid w:val="006A2CC3"/>
    <w:rsid w:val="006B42B1"/>
    <w:rsid w:val="007E2CC1"/>
    <w:rsid w:val="009A342D"/>
    <w:rsid w:val="009B3D60"/>
    <w:rsid w:val="00AD1092"/>
    <w:rsid w:val="00B82A36"/>
    <w:rsid w:val="00BD4EB2"/>
    <w:rsid w:val="00C1597A"/>
    <w:rsid w:val="00D43BD0"/>
    <w:rsid w:val="00D56D0B"/>
    <w:rsid w:val="00DB58E9"/>
    <w:rsid w:val="00DD074A"/>
    <w:rsid w:val="00E069EE"/>
    <w:rsid w:val="00E905BB"/>
    <w:rsid w:val="00F34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CA52"/>
  <w15:docId w15:val="{FB5F199D-AF1A-48B5-8E93-0E6F508D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711"/>
  </w:style>
  <w:style w:type="paragraph" w:styleId="Heading2">
    <w:name w:val="heading 2"/>
    <w:basedOn w:val="Normal"/>
    <w:link w:val="Heading2Char"/>
    <w:uiPriority w:val="9"/>
    <w:qFormat/>
    <w:rsid w:val="0031507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BD0"/>
    <w:pPr>
      <w:ind w:left="720"/>
      <w:contextualSpacing/>
    </w:pPr>
  </w:style>
  <w:style w:type="paragraph" w:styleId="NormalWeb">
    <w:name w:val="Normal (Web)"/>
    <w:basedOn w:val="Normal"/>
    <w:uiPriority w:val="99"/>
    <w:semiHidden/>
    <w:unhideWhenUsed/>
    <w:rsid w:val="003150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1507A"/>
    <w:rPr>
      <w:rFonts w:ascii="Times New Roman" w:eastAsia="Times New Roman" w:hAnsi="Times New Roman" w:cs="Times New Roman"/>
      <w:b/>
      <w:bCs/>
      <w:sz w:val="36"/>
      <w:szCs w:val="36"/>
      <w:lang w:eastAsia="en-GB"/>
    </w:rPr>
  </w:style>
  <w:style w:type="paragraph" w:styleId="BodyText">
    <w:name w:val="Body Text"/>
    <w:basedOn w:val="Normal"/>
    <w:link w:val="BodyTextChar"/>
    <w:uiPriority w:val="1"/>
    <w:qFormat/>
    <w:rsid w:val="00141B44"/>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141B44"/>
    <w:rPr>
      <w:rFonts w:ascii="Arial" w:eastAsia="Arial" w:hAnsi="Arial" w:cs="Arial"/>
      <w:sz w:val="24"/>
      <w:szCs w:val="24"/>
      <w:lang w:val="en-US"/>
    </w:rPr>
  </w:style>
  <w:style w:type="table" w:styleId="TableGrid">
    <w:name w:val="Table Grid"/>
    <w:basedOn w:val="TableNormal"/>
    <w:uiPriority w:val="39"/>
    <w:unhideWhenUsed/>
    <w:rsid w:val="003F0B4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09732">
      <w:bodyDiv w:val="1"/>
      <w:marLeft w:val="0"/>
      <w:marRight w:val="0"/>
      <w:marTop w:val="0"/>
      <w:marBottom w:val="0"/>
      <w:divBdr>
        <w:top w:val="none" w:sz="0" w:space="0" w:color="auto"/>
        <w:left w:val="none" w:sz="0" w:space="0" w:color="auto"/>
        <w:bottom w:val="none" w:sz="0" w:space="0" w:color="auto"/>
        <w:right w:val="none" w:sz="0" w:space="0" w:color="auto"/>
      </w:divBdr>
    </w:div>
    <w:div w:id="114924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dc:creator>
  <cp:lastModifiedBy>Ethan couldrey</cp:lastModifiedBy>
  <cp:revision>3</cp:revision>
  <cp:lastPrinted>2014-11-19T13:23:00Z</cp:lastPrinted>
  <dcterms:created xsi:type="dcterms:W3CDTF">2023-12-11T15:00:00Z</dcterms:created>
  <dcterms:modified xsi:type="dcterms:W3CDTF">2024-05-08T13:11:00Z</dcterms:modified>
</cp:coreProperties>
</file>